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A0BFCCA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3A08A5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6441A5E" w14:textId="723FF0F6" w:rsidR="003A08A5" w:rsidRDefault="003A08A5" w:rsidP="003A08A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A08A5">
        <w:rPr>
          <w:rFonts w:ascii="Times New Roman" w:eastAsia="Times New Roman" w:hAnsi="Times New Roman" w:cs="Times New Roman"/>
          <w:lang w:val="es-CL" w:eastAsia="es-ES"/>
        </w:rPr>
        <w:t>Valeria Zuñiga Zuñiga</w:t>
      </w:r>
    </w:p>
    <w:p w14:paraId="013344FA" w14:textId="0200DDA8" w:rsidR="003A08A5" w:rsidRPr="003A08A5" w:rsidRDefault="003A08A5" w:rsidP="003A08A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A08A5">
        <w:rPr>
          <w:rFonts w:ascii="Times New Roman" w:eastAsia="Times New Roman" w:hAnsi="Times New Roman" w:cs="Times New Roman"/>
          <w:lang w:val="es-CL" w:eastAsia="es-ES"/>
        </w:rPr>
        <w:t>Código solicitud</w:t>
      </w:r>
      <w:r>
        <w:rPr>
          <w:rFonts w:ascii="Times New Roman" w:eastAsia="Times New Roman" w:hAnsi="Times New Roman" w:cs="Times New Roman"/>
          <w:lang w:val="es-CL" w:eastAsia="es-ES"/>
        </w:rPr>
        <w:t>es</w:t>
      </w:r>
      <w:r w:rsidRPr="003A08A5">
        <w:rPr>
          <w:rFonts w:ascii="Times New Roman" w:eastAsia="Times New Roman" w:hAnsi="Times New Roman" w:cs="Times New Roman"/>
          <w:lang w:val="es-CL" w:eastAsia="es-ES"/>
        </w:rPr>
        <w:tab/>
        <w:t>MU062T0003715</w:t>
      </w:r>
      <w:r w:rsidRPr="003A08A5">
        <w:rPr>
          <w:rFonts w:ascii="Times New Roman" w:hAnsi="Times New Roman" w:cs="Times New Roman"/>
          <w:lang w:val="es-ES_tradnl" w:eastAsia="es-ES"/>
        </w:rPr>
        <w:t xml:space="preserve"> </w:t>
      </w:r>
      <w:r>
        <w:rPr>
          <w:rFonts w:ascii="Times New Roman" w:hAnsi="Times New Roman" w:cs="Times New Roman"/>
          <w:lang w:val="es-ES_tradnl" w:eastAsia="es-ES"/>
        </w:rPr>
        <w:t xml:space="preserve">y </w:t>
      </w:r>
      <w:r w:rsidRPr="003A08A5">
        <w:rPr>
          <w:rFonts w:ascii="Times New Roman" w:hAnsi="Times New Roman" w:cs="Times New Roman"/>
          <w:lang w:val="es-ES_tradnl" w:eastAsia="es-ES"/>
        </w:rPr>
        <w:t>MU062T0003719</w:t>
      </w:r>
    </w:p>
    <w:p w14:paraId="42140B3D" w14:textId="3A1E25EE" w:rsidR="000E1C13" w:rsidRPr="00277C66" w:rsidRDefault="00EF1AFB" w:rsidP="003A08A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Pr="003A08A5" w:rsidRDefault="00CF15E8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1F70FE71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p w14:paraId="5A9B1787" w14:textId="474966F7" w:rsidR="003A08A5" w:rsidRPr="003A08A5" w:rsidRDefault="00823D4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bookmarkStart w:id="3" w:name="_Hlk188626029"/>
      <w:r w:rsidRPr="003A08A5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3A08A5"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MU062T0003715</w:t>
      </w:r>
    </w:p>
    <w:bookmarkEnd w:id="3"/>
    <w:p w14:paraId="0EF7F705" w14:textId="05ED88F5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 respecto a constitución de Organizaciones sin Fines de Lucro.</w:t>
      </w:r>
    </w:p>
    <w:p w14:paraId="1C1F89A3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11F5504D" w14:textId="0B4DE1AD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>MU062T000371</w:t>
      </w: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9</w:t>
      </w:r>
    </w:p>
    <w:p w14:paraId="4F9F5FE1" w14:textId="07982A71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>Adjunto documento con preguntas que me faltó en la primera solicitud.</w:t>
      </w:r>
    </w:p>
    <w:p w14:paraId="157AF1DA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1. ¿Cumplen con los plazos establecidos en la ley?</w:t>
      </w:r>
    </w:p>
    <w:p w14:paraId="289CF5F0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2. ¿Cómo se cuenta el plazo en el caso de una modificación de una fundación?</w:t>
      </w:r>
    </w:p>
    <w:p w14:paraId="2893C571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3. ¿Se suspende al enviar los documentos al Ministerio de Justicia?</w:t>
      </w:r>
    </w:p>
    <w:p w14:paraId="480A3DF1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4. ¿Exigen requisitos especiales?</w:t>
      </w:r>
    </w:p>
    <w:p w14:paraId="0E31AA24" w14:textId="4BF721BD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5. ¿Quién lleva los antecedentes al Registro Civil el solicitante o la Municipalidad?</w:t>
      </w:r>
    </w:p>
    <w:p w14:paraId="4B468CBF" w14:textId="77777777" w:rsidR="008D47EC" w:rsidRPr="003A08A5" w:rsidRDefault="008D47EC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bookmarkEnd w:id="2"/>
    <w:p w14:paraId="0ED84536" w14:textId="574A5D70" w:rsidR="0004541E" w:rsidRPr="003A08A5" w:rsidRDefault="007617FF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Sobre el particular, cumplo en responder</w:t>
      </w:r>
      <w:r w:rsidR="00ED23C4"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9C31E5"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adjuntando registro con la información requerida</w:t>
      </w:r>
      <w:r w:rsidR="00322B97"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de acuerdo con lo informado por </w:t>
      </w:r>
      <w:r w:rsidR="003A08A5"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Asesoría Jurídica:</w:t>
      </w:r>
    </w:p>
    <w:p w14:paraId="7BDD92D9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707F9EF7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Preguntas respecto a constitución de Organizaciones Sociales sin Fines de Lucro </w:t>
      </w:r>
    </w:p>
    <w:p w14:paraId="6B026AD4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1. ¿Cumplen con los plazos establecidos en la ley?. </w:t>
      </w:r>
    </w:p>
    <w:p w14:paraId="56C94605" w14:textId="2C1715E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R. Corresponde dar cumplimiento a los plazos, teniendo presente las necesidades 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d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el servicio.</w:t>
      </w:r>
    </w:p>
    <w:p w14:paraId="0290032A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69D61176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2. ¿Cómo se cuenta el plazo en el caso de una modificación de una fundación?.</w:t>
      </w:r>
    </w:p>
    <w:p w14:paraId="5468C657" w14:textId="3406FD39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R. Desde la fecha de su ingreso ante la 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O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ficina de 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P</w:t>
      </w: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artes de este municipio, si no presentare los antecedentes directamente ante el Servicio de Registro Civil.</w:t>
      </w:r>
    </w:p>
    <w:p w14:paraId="528DECB8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29BF2503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3. ¿Se suspende al enviar los documentos al Ministerio de Justicia?.</w:t>
      </w:r>
    </w:p>
    <w:p w14:paraId="24FBB996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R. Los plazos para el municipio se cuentan desde el ingreso a la oficina de partes; la normativa no contempla suspensión.</w:t>
      </w:r>
    </w:p>
    <w:p w14:paraId="680B6CA2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19536516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4. ¿Exigen requisitos especiales?</w:t>
      </w:r>
    </w:p>
    <w:p w14:paraId="2F59B57D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R. No; teniendo presente las observaciones que puedan realizarse.</w:t>
      </w:r>
    </w:p>
    <w:p w14:paraId="1F94549A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187E69C5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5. ¿Quién lleva los antecedentes al Registro Civil el solicitante o la Municipalidad?.</w:t>
      </w:r>
    </w:p>
    <w:p w14:paraId="44AC6B87" w14:textId="1F36336C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hAnsi="Times New Roman" w:cs="Times New Roman"/>
          <w:sz w:val="24"/>
          <w:szCs w:val="24"/>
          <w:lang w:val="es-ES_tradnl" w:eastAsia="es-ES"/>
        </w:rPr>
        <w:t>R. Puede ser directamente el interesado, según el artículo 8 y 9 de la Ley N°20.500 en concordancia con el Art. 9 del Reglamento aprobado por Decreto Supremo N° 84 del Min. de Justicia de fecha 01.02.2013, denominado “Reglamento del Registro Nacional  de Personas Jurídicas Sin Fines de Lucro”. O bien, el Municipio, a través de Secretaría Municipal.</w:t>
      </w:r>
    </w:p>
    <w:p w14:paraId="01D4AA0D" w14:textId="77777777" w:rsidR="003A08A5" w:rsidRPr="003A08A5" w:rsidRDefault="003A08A5" w:rsidP="003A08A5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14:paraId="52217EB1" w14:textId="1512D73F" w:rsidR="00823E61" w:rsidRPr="003A08A5" w:rsidRDefault="0004541E" w:rsidP="003A08A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5E75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1BF7E14" w14:textId="77777777" w:rsidR="00E66FF4" w:rsidRDefault="00E66FF4" w:rsidP="003A08A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FF7529E" w14:textId="47B26452" w:rsidR="008810FC" w:rsidRPr="003A08A5" w:rsidRDefault="00823E61" w:rsidP="003A08A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24E53F72" w14:textId="77777777" w:rsidR="00E66FF4" w:rsidRDefault="00E66FF4" w:rsidP="003A08A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A65ADAA" w14:textId="77777777" w:rsidR="00E66FF4" w:rsidRDefault="00E66FF4" w:rsidP="003A08A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3073CC1" w14:textId="77777777" w:rsidR="00E66FF4" w:rsidRDefault="00E66FF4" w:rsidP="003A08A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7FACFE0" w14:textId="49C41931" w:rsidR="00823E61" w:rsidRPr="003A08A5" w:rsidRDefault="009C4DA2" w:rsidP="003A08A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3A08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A08A5" w:rsidRDefault="00823E61" w:rsidP="003A08A5">
      <w:pPr>
        <w:spacing w:after="0" w:line="30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3A08A5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62AB341" w14:textId="77777777" w:rsidR="000018A8" w:rsidRDefault="000018A8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A81897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08C9B1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2226F8">
        <w:rPr>
          <w:rFonts w:ascii="Calibri" w:eastAsia="Calibri" w:hAnsi="Calibri" w:cs="Times New Roman"/>
          <w:lang w:val="es-ES_tradnl"/>
        </w:rPr>
        <w:t>4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4342"/>
    <w:multiLevelType w:val="hybridMultilevel"/>
    <w:tmpl w:val="0F5EE5D4"/>
    <w:lvl w:ilvl="0" w:tplc="4BFA29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  <w:num w:numId="37" w16cid:durableId="188220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541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26F8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2B97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195D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08A5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0771A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D4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47EC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614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1145"/>
    <w:rsid w:val="009C31E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185F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13B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14CAC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6FF4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15FB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2025-01-23T18:28:00Z</cp:lastPrinted>
  <dcterms:created xsi:type="dcterms:W3CDTF">2025-01-24T18:52:00Z</dcterms:created>
  <dcterms:modified xsi:type="dcterms:W3CDTF">2025-01-24T18:52:00Z</dcterms:modified>
</cp:coreProperties>
</file>