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1393EBF7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C7F3AA4" w14:textId="77777777" w:rsidR="007469A8" w:rsidRDefault="007469A8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469A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Lorena Leon Martinez</w:t>
      </w:r>
      <w:r w:rsidRPr="007469A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79D0359" w14:textId="4FF8E1BD" w:rsidR="007D0263" w:rsidRDefault="007D0263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7D026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MU062T000393</w:t>
      </w:r>
      <w:r w:rsidR="007469A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8</w:t>
      </w:r>
    </w:p>
    <w:p w14:paraId="22DF6A93" w14:textId="2D96B1F1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7B4B3A61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B74DF1" w:rsidRPr="00366FC3">
              <w:rPr>
                <w:rFonts w:cstheme="minorHAnsi"/>
                <w:b/>
                <w:bCs/>
              </w:rPr>
              <w:t>MU062T00039</w:t>
            </w:r>
            <w:r w:rsidR="007D0263">
              <w:rPr>
                <w:rFonts w:cstheme="minorHAnsi"/>
                <w:b/>
                <w:bCs/>
              </w:rPr>
              <w:t>3</w:t>
            </w:r>
            <w:r w:rsidR="007469A8">
              <w:rPr>
                <w:rFonts w:cstheme="minorHAnsi"/>
                <w:b/>
                <w:bCs/>
              </w:rPr>
              <w:t>8</w:t>
            </w:r>
          </w:p>
          <w:p w14:paraId="5CDAF676" w14:textId="77777777" w:rsidR="008E2803" w:rsidRPr="00366FC3" w:rsidRDefault="008E2803" w:rsidP="00863340">
            <w:pPr>
              <w:spacing w:after="0" w:line="240" w:lineRule="auto"/>
              <w:rPr>
                <w:rFonts w:cstheme="minorHAnsi"/>
              </w:rPr>
            </w:pPr>
          </w:p>
          <w:p w14:paraId="3AF31020" w14:textId="753F4E5C" w:rsidR="00275FD7" w:rsidRPr="00366FC3" w:rsidRDefault="007D0263" w:rsidP="00A81292">
            <w:pPr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7469A8" w:rsidRPr="007469A8">
              <w:rPr>
                <w:rFonts w:cstheme="minorHAnsi"/>
              </w:rPr>
              <w:tab/>
              <w:t>Necesito pagar multa con descuento de ley tag folio (T337098) POLICIA LOCAL DE CONCHALI, en plataforma no me figura el descuento asociado patente SDPP26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2025-11-12T14:28:00Z</cp:lastPrinted>
  <dcterms:created xsi:type="dcterms:W3CDTF">2025-11-12T14:44:00Z</dcterms:created>
  <dcterms:modified xsi:type="dcterms:W3CDTF">2025-11-12T14:44:00Z</dcterms:modified>
</cp:coreProperties>
</file>