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7B" w:rsidRDefault="00C9100F">
      <w:r>
        <w:rPr>
          <w:noProof/>
          <w:lang w:eastAsia="es-CL"/>
        </w:rPr>
        <w:drawing>
          <wp:inline distT="0" distB="0" distL="0" distR="0">
            <wp:extent cx="2540000" cy="7620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chali nuevo.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40000" cy="762000"/>
                    </a:xfrm>
                    <a:prstGeom prst="rect">
                      <a:avLst/>
                    </a:prstGeom>
                  </pic:spPr>
                </pic:pic>
              </a:graphicData>
            </a:graphic>
          </wp:inline>
        </w:drawing>
      </w:r>
      <w:bookmarkStart w:id="0" w:name="_GoBack"/>
      <w:bookmarkEnd w:id="0"/>
    </w:p>
    <w:p w:rsidR="00191DD2" w:rsidRDefault="00191DD2"/>
    <w:tbl>
      <w:tblPr>
        <w:tblStyle w:val="Tablaconcuadrcula"/>
        <w:tblW w:w="0" w:type="auto"/>
        <w:jc w:val="center"/>
        <w:tblInd w:w="-1942" w:type="dxa"/>
        <w:tblLook w:val="04A0"/>
      </w:tblPr>
      <w:tblGrid>
        <w:gridCol w:w="2299"/>
        <w:gridCol w:w="1843"/>
        <w:gridCol w:w="2790"/>
        <w:gridCol w:w="1292"/>
        <w:gridCol w:w="1817"/>
        <w:gridCol w:w="1496"/>
        <w:gridCol w:w="1817"/>
        <w:gridCol w:w="1346"/>
        <w:gridCol w:w="2314"/>
      </w:tblGrid>
      <w:tr w:rsidR="00A56331" w:rsidRPr="00D025E7" w:rsidTr="00E448ED">
        <w:trPr>
          <w:jc w:val="center"/>
        </w:trPr>
        <w:tc>
          <w:tcPr>
            <w:tcW w:w="2299"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Título auditoría</w:t>
            </w:r>
          </w:p>
        </w:tc>
        <w:tc>
          <w:tcPr>
            <w:tcW w:w="1843"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Entidad que hizo la auditoría</w:t>
            </w:r>
          </w:p>
        </w:tc>
        <w:tc>
          <w:tcPr>
            <w:tcW w:w="2790"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Materia de la auditoría</w:t>
            </w:r>
          </w:p>
        </w:tc>
        <w:tc>
          <w:tcPr>
            <w:tcW w:w="1292"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Fecha de inicio</w:t>
            </w:r>
          </w:p>
        </w:tc>
        <w:tc>
          <w:tcPr>
            <w:tcW w:w="1817"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Fecha de término</w:t>
            </w:r>
          </w:p>
        </w:tc>
        <w:tc>
          <w:tcPr>
            <w:tcW w:w="1496"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Período auditado</w:t>
            </w:r>
          </w:p>
        </w:tc>
        <w:tc>
          <w:tcPr>
            <w:tcW w:w="1817"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Fecha de publicación del informe</w:t>
            </w:r>
          </w:p>
        </w:tc>
        <w:tc>
          <w:tcPr>
            <w:tcW w:w="1346"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Link al texto íntegro Informe final</w:t>
            </w:r>
          </w:p>
        </w:tc>
        <w:tc>
          <w:tcPr>
            <w:tcW w:w="2314" w:type="dxa"/>
            <w:vAlign w:val="center"/>
          </w:tcPr>
          <w:p w:rsidR="00A56331" w:rsidRPr="00D025E7" w:rsidRDefault="00A56331" w:rsidP="00A56331">
            <w:pPr>
              <w:jc w:val="center"/>
              <w:rPr>
                <w:rFonts w:ascii="Verdana" w:hAnsi="Verdana" w:cs="Times New Roman"/>
                <w:b/>
              </w:rPr>
            </w:pPr>
            <w:r w:rsidRPr="00D025E7">
              <w:rPr>
                <w:rFonts w:ascii="Verdana" w:hAnsi="Verdana" w:cs="Times New Roman"/>
                <w:b/>
              </w:rPr>
              <w:t>Respuesta del servicio</w:t>
            </w:r>
          </w:p>
        </w:tc>
      </w:tr>
      <w:tr w:rsidR="009627D1" w:rsidRPr="00D025E7" w:rsidTr="00E448ED">
        <w:trPr>
          <w:jc w:val="center"/>
        </w:trPr>
        <w:tc>
          <w:tcPr>
            <w:tcW w:w="2299" w:type="dxa"/>
            <w:vAlign w:val="center"/>
          </w:tcPr>
          <w:p w:rsidR="009627D1" w:rsidRDefault="009627D1" w:rsidP="00191DD2">
            <w:r w:rsidRPr="00191DD2">
              <w:t>INFORME FINAL 296-15 MUNICIPALIDAD DE CONCHALI - SOBRE AUDITORIA AL MACROPROCESO DE TECNOLOGIAS DE INFORMACION Y COMUNICACION - JULIO 2015</w:t>
            </w:r>
          </w:p>
          <w:p w:rsidR="009627D1" w:rsidRPr="004463CE" w:rsidRDefault="009627D1" w:rsidP="00A56331">
            <w:pPr>
              <w:jc w:val="center"/>
              <w:rPr>
                <w:rFonts w:ascii="Times New Roman" w:hAnsi="Times New Roman" w:cs="Times New Roman"/>
                <w:color w:val="000000"/>
              </w:rPr>
            </w:pPr>
          </w:p>
        </w:tc>
        <w:tc>
          <w:tcPr>
            <w:tcW w:w="1843" w:type="dxa"/>
            <w:vAlign w:val="center"/>
          </w:tcPr>
          <w:p w:rsidR="009627D1" w:rsidRPr="004463CE" w:rsidRDefault="009627D1" w:rsidP="00A56331">
            <w:pPr>
              <w:jc w:val="center"/>
              <w:rPr>
                <w:rFonts w:ascii="Times New Roman" w:hAnsi="Times New Roman" w:cs="Times New Roman"/>
              </w:rPr>
            </w:pPr>
            <w:r w:rsidRPr="004463CE">
              <w:rPr>
                <w:rFonts w:ascii="Times New Roman" w:hAnsi="Times New Roman" w:cs="Times New Roman"/>
              </w:rPr>
              <w:t>Contraloría General de la República</w:t>
            </w:r>
          </w:p>
        </w:tc>
        <w:tc>
          <w:tcPr>
            <w:tcW w:w="2790" w:type="dxa"/>
            <w:vAlign w:val="center"/>
          </w:tcPr>
          <w:p w:rsidR="009627D1" w:rsidRDefault="009627D1" w:rsidP="009627D1">
            <w:r>
              <w:t xml:space="preserve">La fiscalización tuvo por objeto practicar una auditoría a los controles relativos a los sistemas basados en tecnologías de información y comunicaciones, TIC, asociados a la gestión municipal, incluidas aquellas actividades de tipo manual o no automatizadas, que se desarrollan en el entorno de tales programas, como asimismo, la revisión de los contratos que dan origen a ellos y verificar la observancia de la normativa vigente que rige la materia, especialmente, lo establecido en los decretos </w:t>
            </w:r>
            <w:r>
              <w:lastRenderedPageBreak/>
              <w:t xml:space="preserve">N" 83, de 2004, 93 de 2006, ambos del Ministerio Secretaría General de la Presidencia, y decreto N° 14, de 2014, del Ministerio de Economía, Fomento y </w:t>
            </w:r>
            <w:proofErr w:type="spellStart"/>
            <w:r>
              <w:t>Turism</w:t>
            </w:r>
            <w:proofErr w:type="spellEnd"/>
            <w:r>
              <w:t>.</w:t>
            </w:r>
          </w:p>
          <w:p w:rsidR="009627D1" w:rsidRPr="009627D1" w:rsidRDefault="009627D1" w:rsidP="009627D1">
            <w:r w:rsidRPr="009627D1">
              <w:t>Además, el marco de esta revisión tuvo por finalidad comprobar si las transacciones cumplen con las disposiciones legales y</w:t>
            </w:r>
          </w:p>
          <w:p w:rsidR="009627D1" w:rsidRPr="004463CE" w:rsidRDefault="009627D1" w:rsidP="009627D1">
            <w:pPr>
              <w:rPr>
                <w:rFonts w:ascii="Times New Roman" w:hAnsi="Times New Roman" w:cs="Times New Roman"/>
                <w:color w:val="000000"/>
                <w:shd w:val="clear" w:color="auto" w:fill="FFFFFF"/>
              </w:rPr>
            </w:pPr>
            <w:proofErr w:type="gramStart"/>
            <w:r w:rsidRPr="009627D1">
              <w:t>reglamentarias</w:t>
            </w:r>
            <w:proofErr w:type="gramEnd"/>
            <w:r w:rsidRPr="009627D1">
              <w:t>, se encuentran debidamente documentadas, sus cálculos son exactos y están adecuadamente registradas. Lo anterior, en concordancia con la aludida Ley de Organización y Atribuciones de la Contraloría General de la República.</w:t>
            </w:r>
          </w:p>
        </w:tc>
        <w:tc>
          <w:tcPr>
            <w:tcW w:w="1292" w:type="dxa"/>
            <w:vAlign w:val="center"/>
          </w:tcPr>
          <w:p w:rsidR="009627D1" w:rsidRPr="00D025E7" w:rsidRDefault="009627D1" w:rsidP="00EE09A7">
            <w:pPr>
              <w:jc w:val="center"/>
              <w:rPr>
                <w:rFonts w:ascii="Times New Roman" w:hAnsi="Times New Roman" w:cs="Times New Roman"/>
              </w:rPr>
            </w:pPr>
            <w:r>
              <w:rPr>
                <w:rFonts w:ascii="Times New Roman" w:hAnsi="Times New Roman" w:cs="Times New Roman"/>
              </w:rPr>
              <w:lastRenderedPageBreak/>
              <w:t>Sin información</w:t>
            </w:r>
          </w:p>
        </w:tc>
        <w:tc>
          <w:tcPr>
            <w:tcW w:w="1817" w:type="dxa"/>
            <w:vAlign w:val="center"/>
          </w:tcPr>
          <w:p w:rsidR="009627D1" w:rsidRPr="004463CE" w:rsidRDefault="009627D1" w:rsidP="00EE09A7">
            <w:pPr>
              <w:jc w:val="center"/>
              <w:rPr>
                <w:rFonts w:ascii="Times New Roman" w:hAnsi="Times New Roman" w:cs="Times New Roman"/>
              </w:rPr>
            </w:pPr>
            <w:r>
              <w:rPr>
                <w:rFonts w:ascii="Times New Roman" w:hAnsi="Times New Roman" w:cs="Times New Roman"/>
              </w:rPr>
              <w:t>3 de julio del 2015</w:t>
            </w:r>
          </w:p>
        </w:tc>
        <w:tc>
          <w:tcPr>
            <w:tcW w:w="1496" w:type="dxa"/>
            <w:vAlign w:val="center"/>
          </w:tcPr>
          <w:p w:rsidR="009627D1" w:rsidRPr="004463CE" w:rsidRDefault="009627D1" w:rsidP="009627D1">
            <w:pPr>
              <w:rPr>
                <w:rFonts w:ascii="Times New Roman" w:hAnsi="Times New Roman" w:cs="Times New Roman"/>
              </w:rPr>
            </w:pPr>
            <w:r>
              <w:t>P</w:t>
            </w:r>
            <w:r>
              <w:t>eríodo</w:t>
            </w:r>
            <w:r>
              <w:t xml:space="preserve"> </w:t>
            </w:r>
            <w:r>
              <w:t xml:space="preserve"> comprendido entre el 1 de enero y el 31 de diciembre</w:t>
            </w:r>
            <w:r>
              <w:t xml:space="preserve"> </w:t>
            </w:r>
            <w:r>
              <w:t>de 2014</w:t>
            </w:r>
            <w:r>
              <w:t>.</w:t>
            </w:r>
          </w:p>
        </w:tc>
        <w:tc>
          <w:tcPr>
            <w:tcW w:w="1817" w:type="dxa"/>
            <w:vAlign w:val="center"/>
          </w:tcPr>
          <w:p w:rsidR="009627D1" w:rsidRPr="004463CE" w:rsidRDefault="009627D1" w:rsidP="00C9100F">
            <w:pPr>
              <w:jc w:val="center"/>
              <w:rPr>
                <w:rFonts w:ascii="Times New Roman" w:hAnsi="Times New Roman" w:cs="Times New Roman"/>
              </w:rPr>
            </w:pPr>
            <w:r>
              <w:rPr>
                <w:rFonts w:ascii="Times New Roman" w:hAnsi="Times New Roman" w:cs="Times New Roman"/>
              </w:rPr>
              <w:t>3 de julio del 2015</w:t>
            </w:r>
          </w:p>
        </w:tc>
        <w:tc>
          <w:tcPr>
            <w:tcW w:w="1346" w:type="dxa"/>
            <w:vAlign w:val="center"/>
          </w:tcPr>
          <w:p w:rsidR="009627D1" w:rsidRDefault="009627D1" w:rsidP="00A56331">
            <w:pPr>
              <w:jc w:val="center"/>
            </w:pPr>
            <w:hyperlink r:id="rId5" w:history="1">
              <w:r w:rsidRPr="009627D1">
                <w:rPr>
                  <w:rStyle w:val="Hipervnculo"/>
                </w:rPr>
                <w:t>Lin</w:t>
              </w:r>
              <w:r w:rsidRPr="009627D1">
                <w:rPr>
                  <w:rStyle w:val="Hipervnculo"/>
                </w:rPr>
                <w:t>k</w:t>
              </w:r>
            </w:hyperlink>
          </w:p>
        </w:tc>
        <w:tc>
          <w:tcPr>
            <w:tcW w:w="2314" w:type="dxa"/>
            <w:vAlign w:val="center"/>
          </w:tcPr>
          <w:p w:rsidR="009627D1" w:rsidRPr="000F71AC" w:rsidRDefault="009627D1" w:rsidP="00C9100F">
            <w:pPr>
              <w:jc w:val="center"/>
              <w:rPr>
                <w:rFonts w:ascii="Times New Roman" w:hAnsi="Times New Roman" w:cs="Times New Roman"/>
              </w:rPr>
            </w:pPr>
            <w:r w:rsidRPr="009627D1">
              <w:rPr>
                <w:rFonts w:ascii="Times New Roman" w:hAnsi="Times New Roman" w:cs="Times New Roman"/>
              </w:rPr>
              <w:t xml:space="preserve">Atendidas las consideraciones expuestas durante el desarrollo del presente trabajo, y que la municipalidad no aportó antecedentes suficientes ni informó acciones que permitieran salvar las situaciones planteadas en el </w:t>
            </w:r>
            <w:proofErr w:type="spellStart"/>
            <w:r w:rsidRPr="009627D1">
              <w:rPr>
                <w:rFonts w:ascii="Times New Roman" w:hAnsi="Times New Roman" w:cs="Times New Roman"/>
              </w:rPr>
              <w:t>Preinforme</w:t>
            </w:r>
            <w:proofErr w:type="spellEnd"/>
            <w:r w:rsidRPr="009627D1">
              <w:rPr>
                <w:rFonts w:ascii="Times New Roman" w:hAnsi="Times New Roman" w:cs="Times New Roman"/>
              </w:rPr>
              <w:t xml:space="preserve"> de Observaciones N° 296, de 2015, esta Contraloría General debe mantenerlas en su totalidad.</w:t>
            </w:r>
          </w:p>
        </w:tc>
      </w:tr>
      <w:tr w:rsidR="00347EA3" w:rsidRPr="00D025E7" w:rsidTr="00E448ED">
        <w:trPr>
          <w:jc w:val="center"/>
        </w:trPr>
        <w:tc>
          <w:tcPr>
            <w:tcW w:w="2299" w:type="dxa"/>
            <w:vAlign w:val="center"/>
          </w:tcPr>
          <w:tbl>
            <w:tblPr>
              <w:tblW w:w="5000" w:type="pct"/>
              <w:tblCellSpacing w:w="37" w:type="dxa"/>
              <w:shd w:val="clear" w:color="auto" w:fill="FFFFFF"/>
              <w:tblCellMar>
                <w:top w:w="30" w:type="dxa"/>
                <w:left w:w="30" w:type="dxa"/>
                <w:bottom w:w="30" w:type="dxa"/>
                <w:right w:w="30" w:type="dxa"/>
              </w:tblCellMar>
              <w:tblLook w:val="04A0"/>
            </w:tblPr>
            <w:tblGrid>
              <w:gridCol w:w="2083"/>
            </w:tblGrid>
            <w:tr w:rsidR="00347EA3" w:rsidRPr="00943CDC" w:rsidTr="00943CDC">
              <w:trPr>
                <w:tblCellSpacing w:w="37" w:type="dxa"/>
              </w:trPr>
              <w:tc>
                <w:tcPr>
                  <w:tcW w:w="5000" w:type="pct"/>
                  <w:shd w:val="clear" w:color="auto" w:fill="FFFFFF"/>
                  <w:hideMark/>
                </w:tcPr>
                <w:tbl>
                  <w:tblPr>
                    <w:tblW w:w="0" w:type="auto"/>
                    <w:tblCellSpacing w:w="0" w:type="dxa"/>
                    <w:tblCellMar>
                      <w:left w:w="0" w:type="dxa"/>
                      <w:right w:w="0" w:type="dxa"/>
                    </w:tblCellMar>
                    <w:tblLook w:val="04A0"/>
                  </w:tblPr>
                  <w:tblGrid>
                    <w:gridCol w:w="1875"/>
                  </w:tblGrid>
                  <w:tr w:rsidR="00347EA3" w:rsidRPr="00943CDC" w:rsidTr="00943CDC">
                    <w:trPr>
                      <w:tblCellSpacing w:w="0" w:type="dxa"/>
                    </w:trPr>
                    <w:tc>
                      <w:tcPr>
                        <w:tcW w:w="0" w:type="auto"/>
                        <w:hideMark/>
                      </w:tcPr>
                      <w:p w:rsidR="00347EA3" w:rsidRPr="00943CDC" w:rsidRDefault="00347EA3" w:rsidP="00943CDC">
                        <w:pPr>
                          <w:spacing w:after="0" w:line="240" w:lineRule="auto"/>
                          <w:rPr>
                            <w:rFonts w:ascii="Times New Roman" w:eastAsia="Times New Roman" w:hAnsi="Times New Roman" w:cs="Times New Roman"/>
                            <w:sz w:val="24"/>
                            <w:szCs w:val="24"/>
                            <w:lang w:eastAsia="es-CL"/>
                          </w:rPr>
                        </w:pPr>
                        <w:r w:rsidRPr="00943CDC">
                          <w:lastRenderedPageBreak/>
                          <w:t xml:space="preserve">INFORME FINAL 280-15 MUNICIPALIDAD DE CONCHALI - SOBRE AUDITORIA AL OTORGAMIENTO DE PERMISOS DE CIRCULACION Y LICENCIAS DE CONDUCIR - JUNIO </w:t>
                        </w:r>
                        <w:r w:rsidRPr="00943CDC">
                          <w:lastRenderedPageBreak/>
                          <w:t>2015</w:t>
                        </w:r>
                      </w:p>
                    </w:tc>
                  </w:tr>
                </w:tbl>
                <w:p w:rsidR="00347EA3" w:rsidRPr="00943CDC" w:rsidRDefault="00347EA3" w:rsidP="00943CDC">
                  <w:pPr>
                    <w:spacing w:after="0" w:line="240" w:lineRule="auto"/>
                    <w:rPr>
                      <w:rFonts w:ascii="Tahoma" w:eastAsia="Times New Roman" w:hAnsi="Tahoma" w:cs="Tahoma"/>
                      <w:color w:val="13335A"/>
                      <w:sz w:val="16"/>
                      <w:szCs w:val="16"/>
                      <w:lang w:eastAsia="es-CL"/>
                    </w:rPr>
                  </w:pPr>
                </w:p>
              </w:tc>
            </w:tr>
            <w:tr w:rsidR="00347EA3" w:rsidRPr="00943CDC" w:rsidTr="00943CDC">
              <w:trPr>
                <w:tblCellSpacing w:w="37" w:type="dxa"/>
              </w:trPr>
              <w:tc>
                <w:tcPr>
                  <w:tcW w:w="5000" w:type="pct"/>
                  <w:shd w:val="clear" w:color="auto" w:fill="FFFFFF"/>
                  <w:hideMark/>
                </w:tcPr>
                <w:p w:rsidR="00347EA3" w:rsidRPr="00943CDC" w:rsidRDefault="00347EA3" w:rsidP="00943CDC">
                  <w:pPr>
                    <w:spacing w:after="0" w:line="240" w:lineRule="auto"/>
                    <w:rPr>
                      <w:rFonts w:ascii="Tahoma" w:eastAsia="Times New Roman" w:hAnsi="Tahoma" w:cs="Tahoma"/>
                      <w:color w:val="13335A"/>
                      <w:sz w:val="16"/>
                      <w:szCs w:val="16"/>
                      <w:lang w:eastAsia="es-CL"/>
                    </w:rPr>
                  </w:pPr>
                </w:p>
              </w:tc>
            </w:tr>
          </w:tbl>
          <w:p w:rsidR="00347EA3" w:rsidRPr="00191DD2" w:rsidRDefault="00347EA3" w:rsidP="00191DD2"/>
        </w:tc>
        <w:tc>
          <w:tcPr>
            <w:tcW w:w="1843" w:type="dxa"/>
            <w:vAlign w:val="center"/>
          </w:tcPr>
          <w:p w:rsidR="00347EA3" w:rsidRPr="004463CE" w:rsidRDefault="00347EA3" w:rsidP="00EE09A7">
            <w:pPr>
              <w:jc w:val="center"/>
              <w:rPr>
                <w:rFonts w:ascii="Times New Roman" w:hAnsi="Times New Roman" w:cs="Times New Roman"/>
              </w:rPr>
            </w:pPr>
            <w:r w:rsidRPr="004463CE">
              <w:rPr>
                <w:rFonts w:ascii="Times New Roman" w:hAnsi="Times New Roman" w:cs="Times New Roman"/>
              </w:rPr>
              <w:lastRenderedPageBreak/>
              <w:t>Contraloría General de la República</w:t>
            </w:r>
          </w:p>
        </w:tc>
        <w:tc>
          <w:tcPr>
            <w:tcW w:w="2790" w:type="dxa"/>
            <w:vAlign w:val="center"/>
          </w:tcPr>
          <w:p w:rsidR="00347EA3" w:rsidRDefault="00347EA3" w:rsidP="00943CDC">
            <w:r w:rsidRPr="009627D1">
              <w:t xml:space="preserve">La fiscalización tuvo por objeto practicar una auditoría a los ingresos propios recibidos por la entidad, en particular a los provenientes de licencias de conducir y de permisos de circulación, específicamente, respecto de estos últimos, aquellos </w:t>
            </w:r>
            <w:r w:rsidRPr="009627D1">
              <w:lastRenderedPageBreak/>
              <w:t>que al momento de la renovación presentaban</w:t>
            </w:r>
            <w:r w:rsidRPr="009627D1">
              <w:br/>
              <w:t>faltas, según el Registro de Multas del Tránsito no Pagadas a noviembre de 2013.</w:t>
            </w:r>
            <w:r w:rsidRPr="009627D1">
              <w:br/>
            </w:r>
            <w:r w:rsidRPr="009627D1">
              <w:br/>
              <w:t xml:space="preserve">De igual forma, la finalidad de la revisión fue de verificar el cumplimiento de las normas legales y reglamentarias, comprobar la veracidad y fidelidad de las cuentas, la autenticidad de la documentación de respaldo y los controles establecidos para las materias examinadas. </w:t>
            </w:r>
          </w:p>
        </w:tc>
        <w:tc>
          <w:tcPr>
            <w:tcW w:w="1292" w:type="dxa"/>
            <w:vAlign w:val="center"/>
          </w:tcPr>
          <w:p w:rsidR="00347EA3" w:rsidRPr="00D025E7" w:rsidRDefault="00347EA3" w:rsidP="00EE09A7">
            <w:pPr>
              <w:jc w:val="center"/>
              <w:rPr>
                <w:rFonts w:ascii="Times New Roman" w:hAnsi="Times New Roman" w:cs="Times New Roman"/>
              </w:rPr>
            </w:pPr>
            <w:r>
              <w:rPr>
                <w:rFonts w:ascii="Times New Roman" w:hAnsi="Times New Roman" w:cs="Times New Roman"/>
              </w:rPr>
              <w:lastRenderedPageBreak/>
              <w:t>Sin información</w:t>
            </w:r>
          </w:p>
        </w:tc>
        <w:tc>
          <w:tcPr>
            <w:tcW w:w="1817" w:type="dxa"/>
            <w:vAlign w:val="center"/>
          </w:tcPr>
          <w:p w:rsidR="00347EA3" w:rsidRDefault="00347EA3" w:rsidP="00EE09A7">
            <w:pPr>
              <w:jc w:val="center"/>
              <w:rPr>
                <w:rFonts w:ascii="Times New Roman" w:hAnsi="Times New Roman" w:cs="Times New Roman"/>
              </w:rPr>
            </w:pPr>
            <w:r>
              <w:rPr>
                <w:rFonts w:ascii="Arial" w:hAnsi="Arial" w:cs="Arial"/>
                <w:b/>
                <w:bCs/>
                <w:color w:val="000000"/>
                <w:sz w:val="16"/>
                <w:szCs w:val="16"/>
                <w:shd w:val="clear" w:color="auto" w:fill="FFFFFF"/>
              </w:rPr>
              <w:t>30/06/2015</w:t>
            </w:r>
          </w:p>
        </w:tc>
        <w:tc>
          <w:tcPr>
            <w:tcW w:w="1496" w:type="dxa"/>
            <w:vAlign w:val="center"/>
          </w:tcPr>
          <w:p w:rsidR="00347EA3" w:rsidRDefault="00347EA3" w:rsidP="009627D1">
            <w:r w:rsidRPr="009627D1">
              <w:t>Periodo</w:t>
            </w:r>
            <w:r>
              <w:t xml:space="preserve"> </w:t>
            </w:r>
            <w:r w:rsidRPr="009627D1">
              <w:br/>
              <w:t>comprendido entre el 1 de enero y el 30 de septiembre de 2014</w:t>
            </w:r>
          </w:p>
        </w:tc>
        <w:tc>
          <w:tcPr>
            <w:tcW w:w="1817" w:type="dxa"/>
            <w:vAlign w:val="center"/>
          </w:tcPr>
          <w:p w:rsidR="00347EA3" w:rsidRDefault="00347EA3" w:rsidP="00C9100F">
            <w:pPr>
              <w:jc w:val="center"/>
              <w:rPr>
                <w:rFonts w:ascii="Times New Roman" w:hAnsi="Times New Roman" w:cs="Times New Roman"/>
              </w:rPr>
            </w:pPr>
            <w:r>
              <w:rPr>
                <w:rFonts w:ascii="Arial" w:hAnsi="Arial" w:cs="Arial"/>
                <w:b/>
                <w:bCs/>
                <w:color w:val="000000"/>
                <w:sz w:val="16"/>
                <w:szCs w:val="16"/>
                <w:shd w:val="clear" w:color="auto" w:fill="FFFFFF"/>
              </w:rPr>
              <w:t>30/06/2015</w:t>
            </w:r>
          </w:p>
        </w:tc>
        <w:tc>
          <w:tcPr>
            <w:tcW w:w="1346" w:type="dxa"/>
            <w:vAlign w:val="center"/>
          </w:tcPr>
          <w:p w:rsidR="00347EA3" w:rsidRDefault="00347EA3" w:rsidP="00A56331">
            <w:pPr>
              <w:jc w:val="center"/>
            </w:pPr>
            <w:hyperlink r:id="rId6" w:history="1">
              <w:r w:rsidRPr="00347EA3">
                <w:rPr>
                  <w:rStyle w:val="Hipervnculo"/>
                </w:rPr>
                <w:t>Link</w:t>
              </w:r>
            </w:hyperlink>
          </w:p>
        </w:tc>
        <w:tc>
          <w:tcPr>
            <w:tcW w:w="2314" w:type="dxa"/>
            <w:vAlign w:val="center"/>
          </w:tcPr>
          <w:p w:rsidR="00347EA3" w:rsidRPr="009627D1" w:rsidRDefault="00347EA3" w:rsidP="00C9100F">
            <w:pPr>
              <w:jc w:val="center"/>
              <w:rPr>
                <w:rFonts w:ascii="Times New Roman" w:hAnsi="Times New Roman" w:cs="Times New Roman"/>
              </w:rPr>
            </w:pPr>
            <w:r>
              <w:rPr>
                <w:rFonts w:ascii="Arial" w:hAnsi="Arial" w:cs="Arial"/>
                <w:color w:val="000000"/>
                <w:sz w:val="17"/>
                <w:szCs w:val="17"/>
                <w:shd w:val="clear" w:color="auto" w:fill="FFFFFF"/>
              </w:rPr>
              <w:t>La  Municipalidad de Conchalí ha aportado</w:t>
            </w:r>
            <w:r>
              <w:rPr>
                <w:rFonts w:ascii="Arial" w:hAnsi="Arial" w:cs="Arial"/>
                <w:color w:val="000000"/>
                <w:sz w:val="17"/>
                <w:szCs w:val="17"/>
              </w:rPr>
              <w:br/>
            </w:r>
            <w:r>
              <w:rPr>
                <w:rFonts w:ascii="Arial" w:hAnsi="Arial" w:cs="Arial"/>
                <w:color w:val="000000"/>
                <w:sz w:val="17"/>
                <w:szCs w:val="17"/>
                <w:shd w:val="clear" w:color="auto" w:fill="FFFFFF"/>
              </w:rPr>
              <w:t xml:space="preserve">antecedentes e iniciado acciones que han permitido salvar algunas de las situaciones planteadas en el </w:t>
            </w:r>
            <w:proofErr w:type="spellStart"/>
            <w:r>
              <w:rPr>
                <w:rFonts w:ascii="Arial" w:hAnsi="Arial" w:cs="Arial"/>
                <w:color w:val="000000"/>
                <w:sz w:val="17"/>
                <w:szCs w:val="17"/>
                <w:shd w:val="clear" w:color="auto" w:fill="FFFFFF"/>
              </w:rPr>
              <w:t>Preinforme</w:t>
            </w:r>
            <w:proofErr w:type="spellEnd"/>
            <w:r>
              <w:rPr>
                <w:rFonts w:ascii="Arial" w:hAnsi="Arial" w:cs="Arial"/>
                <w:color w:val="000000"/>
                <w:sz w:val="17"/>
                <w:szCs w:val="17"/>
                <w:shd w:val="clear" w:color="auto" w:fill="FFFFFF"/>
              </w:rPr>
              <w:t xml:space="preserve"> de Observaciones N° 280, de 2015.</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shd w:val="clear" w:color="auto" w:fill="FFFFFF"/>
              </w:rPr>
              <w:t xml:space="preserve">En efecto, las observaciones señaladas en el capítulo II, examen de la materia auditada, </w:t>
            </w:r>
            <w:r>
              <w:rPr>
                <w:rFonts w:ascii="Arial" w:hAnsi="Arial" w:cs="Arial"/>
                <w:color w:val="000000"/>
                <w:sz w:val="17"/>
                <w:szCs w:val="17"/>
                <w:shd w:val="clear" w:color="auto" w:fill="FFFFFF"/>
              </w:rPr>
              <w:lastRenderedPageBreak/>
              <w:t>numeral 1.1, incumplimiento de requisitos para el otorgamiento de permisos de circulación, letra a), falta de documentación de respaldo; letra b), en lo referido a la placa patente TL6373-9; numeral 1.2, renovación de permisos de circulación a vehículos con multas pendientes; numeral 2.2, inobservancia de requerimientos para la emisión de las licencias de conducir; capítulo III, examen de cuentas, numeral 1.1, cobros erróneos de permisos de circulación, se dan por levantadas, considerando las explicaciones y documentos aportados por la entidad.</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shd w:val="clear" w:color="auto" w:fill="FFFFFF"/>
              </w:rPr>
              <w:t>Luego, referente a lo mencionado en el capítulo I, aspectos de control interno, numeral 4, sobre la falta de fiscalización de</w:t>
            </w:r>
            <w:r>
              <w:rPr>
                <w:rFonts w:ascii="Arial" w:hAnsi="Arial" w:cs="Arial"/>
                <w:color w:val="000000"/>
                <w:sz w:val="17"/>
                <w:szCs w:val="17"/>
              </w:rPr>
              <w:br/>
            </w:r>
            <w:r>
              <w:rPr>
                <w:rFonts w:ascii="Arial" w:hAnsi="Arial" w:cs="Arial"/>
                <w:color w:val="000000"/>
                <w:sz w:val="17"/>
                <w:szCs w:val="17"/>
                <w:shd w:val="clear" w:color="auto" w:fill="FFFFFF"/>
              </w:rPr>
              <w:t>parte de la Dirección de Control, se recomienda al municipio efectuar periódicamente fiscalizaciones a los procesos de permisos de circulación y licencias de conducir, para un mejor control de los mismos.</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shd w:val="clear" w:color="auto" w:fill="FFFFFF"/>
              </w:rPr>
              <w:t xml:space="preserve">Respecto de aquellas observaciones que se mantienen, se deberán adoptar medidas con el objeto de dar estricto </w:t>
            </w:r>
            <w:r>
              <w:rPr>
                <w:rFonts w:ascii="Arial" w:hAnsi="Arial" w:cs="Arial"/>
                <w:color w:val="000000"/>
                <w:sz w:val="17"/>
                <w:szCs w:val="17"/>
                <w:shd w:val="clear" w:color="auto" w:fill="FFFFFF"/>
              </w:rPr>
              <w:lastRenderedPageBreak/>
              <w:t>cumplimiento a las normas legales y reglamentarias que las rigen,</w:t>
            </w:r>
          </w:p>
        </w:tc>
      </w:tr>
      <w:tr w:rsidR="00347EA3" w:rsidRPr="00D025E7" w:rsidTr="00E448ED">
        <w:trPr>
          <w:jc w:val="center"/>
        </w:trPr>
        <w:tc>
          <w:tcPr>
            <w:tcW w:w="2299" w:type="dxa"/>
            <w:vAlign w:val="center"/>
          </w:tcPr>
          <w:p w:rsidR="00347EA3" w:rsidRDefault="00347EA3" w:rsidP="00A56331">
            <w:pPr>
              <w:jc w:val="center"/>
              <w:rPr>
                <w:rFonts w:ascii="Times New Roman" w:hAnsi="Times New Roman" w:cs="Times New Roman"/>
                <w:color w:val="000000"/>
              </w:rPr>
            </w:pPr>
            <w:r w:rsidRPr="004463CE">
              <w:rPr>
                <w:rFonts w:ascii="Times New Roman" w:hAnsi="Times New Roman" w:cs="Times New Roman"/>
                <w:color w:val="000000"/>
              </w:rPr>
              <w:lastRenderedPageBreak/>
              <w:t>INFORME FINAL 54-13 MUNICIPALIDAD DE CONCHALI SOBRE AUDITORIA A LOS CONTRATOS DE OBRAS - JUNIO 2014</w:t>
            </w:r>
          </w:p>
          <w:p w:rsidR="00347EA3" w:rsidRDefault="00347EA3" w:rsidP="00A56331">
            <w:pPr>
              <w:jc w:val="center"/>
              <w:rPr>
                <w:rFonts w:ascii="Times New Roman" w:hAnsi="Times New Roman" w:cs="Times New Roman"/>
                <w:color w:val="000000"/>
              </w:rPr>
            </w:pPr>
          </w:p>
        </w:tc>
        <w:tc>
          <w:tcPr>
            <w:tcW w:w="1843" w:type="dxa"/>
            <w:vAlign w:val="center"/>
          </w:tcPr>
          <w:p w:rsidR="00347EA3" w:rsidRDefault="00347EA3" w:rsidP="00A56331">
            <w:pPr>
              <w:jc w:val="center"/>
              <w:rPr>
                <w:rFonts w:ascii="Times New Roman" w:hAnsi="Times New Roman" w:cs="Times New Roman"/>
              </w:rPr>
            </w:pPr>
            <w:r w:rsidRPr="004463CE">
              <w:rPr>
                <w:rFonts w:ascii="Times New Roman" w:hAnsi="Times New Roman" w:cs="Times New Roman"/>
              </w:rPr>
              <w:t>Contraloría General de la República</w:t>
            </w:r>
          </w:p>
        </w:tc>
        <w:tc>
          <w:tcPr>
            <w:tcW w:w="2790" w:type="dxa"/>
            <w:vAlign w:val="center"/>
          </w:tcPr>
          <w:p w:rsidR="00347EA3" w:rsidRDefault="00347EA3" w:rsidP="004463CE">
            <w:pPr>
              <w:jc w:val="center"/>
              <w:rPr>
                <w:rFonts w:ascii="Times New Roman" w:hAnsi="Times New Roman" w:cs="Times New Roman"/>
                <w:color w:val="000000"/>
                <w:shd w:val="clear" w:color="auto" w:fill="FFFFFF"/>
              </w:rPr>
            </w:pPr>
            <w:r w:rsidRPr="004463CE">
              <w:rPr>
                <w:rFonts w:ascii="Times New Roman" w:hAnsi="Times New Roman" w:cs="Times New Roman"/>
                <w:color w:val="000000"/>
                <w:shd w:val="clear" w:color="auto" w:fill="FFFFFF"/>
              </w:rPr>
              <w:t>La fiscalización tuvo por objeto practicar una auditoría a los contratos de obra con ejecución física y/o financiera durante el primer semestre de 2013, en la Municipalidad de Conchalí.</w:t>
            </w:r>
          </w:p>
        </w:tc>
        <w:tc>
          <w:tcPr>
            <w:tcW w:w="1292" w:type="dxa"/>
            <w:vAlign w:val="center"/>
          </w:tcPr>
          <w:p w:rsidR="00347EA3" w:rsidRPr="00D025E7" w:rsidRDefault="00347EA3" w:rsidP="00026D49">
            <w:pPr>
              <w:jc w:val="center"/>
              <w:rPr>
                <w:rFonts w:ascii="Times New Roman" w:hAnsi="Times New Roman" w:cs="Times New Roman"/>
              </w:rPr>
            </w:pPr>
            <w:r>
              <w:rPr>
                <w:rFonts w:ascii="Times New Roman" w:hAnsi="Times New Roman" w:cs="Times New Roman"/>
              </w:rPr>
              <w:t>Sin información</w:t>
            </w:r>
          </w:p>
        </w:tc>
        <w:tc>
          <w:tcPr>
            <w:tcW w:w="1817" w:type="dxa"/>
            <w:vAlign w:val="center"/>
          </w:tcPr>
          <w:p w:rsidR="00347EA3" w:rsidRDefault="00347EA3" w:rsidP="00A56331">
            <w:pPr>
              <w:jc w:val="center"/>
              <w:rPr>
                <w:rFonts w:ascii="Times New Roman" w:hAnsi="Times New Roman" w:cs="Times New Roman"/>
              </w:rPr>
            </w:pPr>
            <w:r w:rsidRPr="004463CE">
              <w:rPr>
                <w:rFonts w:ascii="Times New Roman" w:hAnsi="Times New Roman" w:cs="Times New Roman"/>
              </w:rPr>
              <w:t>30/06/2014</w:t>
            </w:r>
          </w:p>
        </w:tc>
        <w:tc>
          <w:tcPr>
            <w:tcW w:w="1496" w:type="dxa"/>
            <w:vAlign w:val="center"/>
          </w:tcPr>
          <w:p w:rsidR="00347EA3" w:rsidRPr="00D025E7" w:rsidRDefault="00347EA3" w:rsidP="00A56331">
            <w:pPr>
              <w:jc w:val="center"/>
              <w:rPr>
                <w:rFonts w:ascii="Times New Roman" w:hAnsi="Times New Roman" w:cs="Times New Roman"/>
              </w:rPr>
            </w:pPr>
            <w:r w:rsidRPr="004463CE">
              <w:rPr>
                <w:rFonts w:ascii="Times New Roman" w:hAnsi="Times New Roman" w:cs="Times New Roman"/>
              </w:rPr>
              <w:t>Primer semestre de 2013</w:t>
            </w:r>
          </w:p>
        </w:tc>
        <w:tc>
          <w:tcPr>
            <w:tcW w:w="1817" w:type="dxa"/>
            <w:vAlign w:val="center"/>
          </w:tcPr>
          <w:p w:rsidR="00347EA3" w:rsidRDefault="00347EA3" w:rsidP="00C9100F">
            <w:pPr>
              <w:jc w:val="center"/>
              <w:rPr>
                <w:rFonts w:ascii="Times New Roman" w:hAnsi="Times New Roman" w:cs="Times New Roman"/>
              </w:rPr>
            </w:pPr>
            <w:r w:rsidRPr="004463CE">
              <w:rPr>
                <w:rFonts w:ascii="Times New Roman" w:hAnsi="Times New Roman" w:cs="Times New Roman"/>
              </w:rPr>
              <w:t>30/06/2014</w:t>
            </w:r>
          </w:p>
        </w:tc>
        <w:tc>
          <w:tcPr>
            <w:tcW w:w="1346" w:type="dxa"/>
            <w:vAlign w:val="center"/>
          </w:tcPr>
          <w:p w:rsidR="00347EA3" w:rsidRDefault="00347EA3" w:rsidP="00A56331">
            <w:pPr>
              <w:jc w:val="center"/>
            </w:pPr>
            <w:hyperlink r:id="rId7" w:history="1">
              <w:r w:rsidRPr="004463CE">
                <w:rPr>
                  <w:rStyle w:val="Hipervnculo"/>
                </w:rPr>
                <w:t>Link</w:t>
              </w:r>
            </w:hyperlink>
          </w:p>
        </w:tc>
        <w:tc>
          <w:tcPr>
            <w:tcW w:w="2314" w:type="dxa"/>
            <w:vAlign w:val="center"/>
          </w:tcPr>
          <w:p w:rsidR="00347EA3" w:rsidRPr="00C9100F" w:rsidRDefault="00347EA3" w:rsidP="00C9100F">
            <w:pPr>
              <w:jc w:val="center"/>
              <w:rPr>
                <w:rFonts w:ascii="Times New Roman" w:hAnsi="Times New Roman" w:cs="Times New Roman"/>
              </w:rPr>
            </w:pPr>
            <w:r w:rsidRPr="000F71AC">
              <w:rPr>
                <w:rFonts w:ascii="Times New Roman" w:hAnsi="Times New Roman" w:cs="Times New Roman"/>
              </w:rPr>
              <w:t>La Municipalidad de Conchalí no ha aportado antecedentes suficientes que permitan subsanar las observaciones detalladas en este informe, manteniéndose todas ellas. Al efecto, deberá adoptar medidas con el objeto de dar estricto cumplimiento a la normativa que rige la materia</w:t>
            </w:r>
          </w:p>
        </w:tc>
      </w:tr>
      <w:tr w:rsidR="00347EA3" w:rsidRPr="00D025E7" w:rsidTr="00E448ED">
        <w:trPr>
          <w:jc w:val="center"/>
        </w:trPr>
        <w:tc>
          <w:tcPr>
            <w:tcW w:w="2299" w:type="dxa"/>
            <w:vAlign w:val="center"/>
          </w:tcPr>
          <w:p w:rsidR="00347EA3" w:rsidRDefault="00347EA3" w:rsidP="00A56331">
            <w:pPr>
              <w:jc w:val="center"/>
              <w:rPr>
                <w:rFonts w:ascii="Times New Roman" w:hAnsi="Times New Roman" w:cs="Times New Roman"/>
                <w:color w:val="000000"/>
              </w:rPr>
            </w:pPr>
          </w:p>
          <w:p w:rsidR="00347EA3" w:rsidRDefault="00347EA3" w:rsidP="00A56331">
            <w:pPr>
              <w:jc w:val="center"/>
              <w:rPr>
                <w:rFonts w:ascii="Times New Roman" w:hAnsi="Times New Roman" w:cs="Times New Roman"/>
                <w:color w:val="000000"/>
              </w:rPr>
            </w:pPr>
            <w:r>
              <w:rPr>
                <w:rFonts w:ascii="Times New Roman" w:hAnsi="Times New Roman" w:cs="Times New Roman"/>
                <w:color w:val="000000"/>
              </w:rPr>
              <w:t>INFORME FINAL 59-12 MUNICIPALIDAD DE CONCHALI SOBRE TRANSFERENCIAS Y GASTOS – ABRIL 2013</w:t>
            </w:r>
          </w:p>
          <w:p w:rsidR="00347EA3" w:rsidRPr="00C9100F" w:rsidRDefault="00347EA3" w:rsidP="00A56331">
            <w:pPr>
              <w:jc w:val="center"/>
              <w:rPr>
                <w:rFonts w:ascii="Times New Roman" w:hAnsi="Times New Roman" w:cs="Times New Roman"/>
                <w:color w:val="000000"/>
              </w:rPr>
            </w:pPr>
          </w:p>
        </w:tc>
        <w:tc>
          <w:tcPr>
            <w:tcW w:w="1843" w:type="dxa"/>
            <w:vAlign w:val="center"/>
          </w:tcPr>
          <w:p w:rsidR="00347EA3" w:rsidRPr="00C9100F" w:rsidRDefault="00347EA3" w:rsidP="00A56331">
            <w:pPr>
              <w:jc w:val="center"/>
              <w:rPr>
                <w:rFonts w:ascii="Times New Roman" w:hAnsi="Times New Roman" w:cs="Times New Roman"/>
              </w:rPr>
            </w:pPr>
            <w:r>
              <w:rPr>
                <w:rFonts w:ascii="Times New Roman" w:hAnsi="Times New Roman" w:cs="Times New Roman"/>
              </w:rPr>
              <w:t>Contraloría General de la República</w:t>
            </w:r>
          </w:p>
        </w:tc>
        <w:tc>
          <w:tcPr>
            <w:tcW w:w="2790" w:type="dxa"/>
            <w:vAlign w:val="center"/>
          </w:tcPr>
          <w:p w:rsidR="00347EA3" w:rsidRDefault="00347EA3" w:rsidP="00295F5A">
            <w:pPr>
              <w:jc w:val="center"/>
              <w:rPr>
                <w:rFonts w:ascii="Times New Roman" w:hAnsi="Times New Roman" w:cs="Times New Roman"/>
              </w:rPr>
            </w:pPr>
            <w:r>
              <w:rPr>
                <w:rFonts w:ascii="Times New Roman" w:hAnsi="Times New Roman" w:cs="Times New Roman"/>
                <w:color w:val="000000"/>
                <w:shd w:val="clear" w:color="auto" w:fill="FFFFFF"/>
              </w:rPr>
              <w:t>Auditoría de Transacciones de Gastos - Diciembre 2013 en la Municipalidad de Conchalí</w:t>
            </w:r>
          </w:p>
        </w:tc>
        <w:tc>
          <w:tcPr>
            <w:tcW w:w="1292" w:type="dxa"/>
            <w:vAlign w:val="center"/>
          </w:tcPr>
          <w:p w:rsidR="00347EA3" w:rsidRPr="00D025E7" w:rsidRDefault="00347EA3" w:rsidP="00D025E7">
            <w:pPr>
              <w:jc w:val="center"/>
              <w:rPr>
                <w:rFonts w:ascii="Times New Roman" w:hAnsi="Times New Roman" w:cs="Times New Roman"/>
              </w:rPr>
            </w:pPr>
            <w:r>
              <w:rPr>
                <w:rFonts w:ascii="Times New Roman" w:hAnsi="Times New Roman" w:cs="Times New Roman"/>
              </w:rPr>
              <w:t>Sin información</w:t>
            </w:r>
          </w:p>
        </w:tc>
        <w:tc>
          <w:tcPr>
            <w:tcW w:w="1817" w:type="dxa"/>
            <w:vAlign w:val="center"/>
          </w:tcPr>
          <w:p w:rsidR="00347EA3" w:rsidRDefault="00347EA3" w:rsidP="00A56331">
            <w:pPr>
              <w:jc w:val="center"/>
              <w:rPr>
                <w:rFonts w:ascii="Times New Roman" w:hAnsi="Times New Roman" w:cs="Times New Roman"/>
              </w:rPr>
            </w:pPr>
            <w:r>
              <w:rPr>
                <w:rFonts w:ascii="Times New Roman" w:hAnsi="Times New Roman" w:cs="Times New Roman"/>
              </w:rPr>
              <w:t>Diciembre</w:t>
            </w:r>
          </w:p>
          <w:p w:rsidR="00347EA3" w:rsidRDefault="00347EA3" w:rsidP="00A56331">
            <w:pPr>
              <w:jc w:val="center"/>
              <w:rPr>
                <w:rFonts w:ascii="Times New Roman" w:hAnsi="Times New Roman" w:cs="Times New Roman"/>
              </w:rPr>
            </w:pPr>
            <w:r>
              <w:rPr>
                <w:rFonts w:ascii="Times New Roman" w:hAnsi="Times New Roman" w:cs="Times New Roman"/>
              </w:rPr>
              <w:t>2013</w:t>
            </w:r>
          </w:p>
        </w:tc>
        <w:tc>
          <w:tcPr>
            <w:tcW w:w="1496" w:type="dxa"/>
            <w:vAlign w:val="center"/>
          </w:tcPr>
          <w:p w:rsidR="00347EA3" w:rsidRPr="00D025E7" w:rsidRDefault="00347EA3" w:rsidP="00A56331">
            <w:pPr>
              <w:jc w:val="center"/>
              <w:rPr>
                <w:rFonts w:ascii="Times New Roman" w:hAnsi="Times New Roman" w:cs="Times New Roman"/>
              </w:rPr>
            </w:pPr>
            <w:r>
              <w:rPr>
                <w:rFonts w:ascii="Times New Roman" w:hAnsi="Times New Roman" w:cs="Times New Roman"/>
              </w:rPr>
              <w:t>No indica</w:t>
            </w:r>
          </w:p>
        </w:tc>
        <w:tc>
          <w:tcPr>
            <w:tcW w:w="1817" w:type="dxa"/>
            <w:vAlign w:val="center"/>
          </w:tcPr>
          <w:p w:rsidR="00347EA3" w:rsidRPr="00C9100F" w:rsidRDefault="00347EA3" w:rsidP="00C9100F">
            <w:pPr>
              <w:jc w:val="center"/>
              <w:rPr>
                <w:rFonts w:ascii="Times New Roman" w:hAnsi="Times New Roman" w:cs="Times New Roman"/>
              </w:rPr>
            </w:pPr>
            <w:r>
              <w:rPr>
                <w:rFonts w:ascii="Times New Roman" w:hAnsi="Times New Roman" w:cs="Times New Roman"/>
              </w:rPr>
              <w:t>31-12-2013</w:t>
            </w:r>
          </w:p>
        </w:tc>
        <w:tc>
          <w:tcPr>
            <w:tcW w:w="1346" w:type="dxa"/>
            <w:vAlign w:val="center"/>
          </w:tcPr>
          <w:p w:rsidR="00347EA3" w:rsidRDefault="00347EA3" w:rsidP="00A56331">
            <w:pPr>
              <w:jc w:val="center"/>
            </w:pPr>
            <w:hyperlink r:id="rId8" w:history="1">
              <w:r w:rsidRPr="0019547D">
                <w:rPr>
                  <w:rStyle w:val="Hipervnculo"/>
                </w:rPr>
                <w:t>Link</w:t>
              </w:r>
            </w:hyperlink>
          </w:p>
        </w:tc>
        <w:tc>
          <w:tcPr>
            <w:tcW w:w="2314" w:type="dxa"/>
            <w:vAlign w:val="center"/>
          </w:tcPr>
          <w:p w:rsidR="00347EA3" w:rsidRPr="00C9100F" w:rsidRDefault="00347EA3" w:rsidP="00C9100F">
            <w:pPr>
              <w:jc w:val="center"/>
              <w:rPr>
                <w:rFonts w:ascii="Times New Roman" w:hAnsi="Times New Roman" w:cs="Times New Roman"/>
              </w:rPr>
            </w:pPr>
            <w:r>
              <w:rPr>
                <w:rFonts w:ascii="Times New Roman" w:hAnsi="Times New Roman" w:cs="Times New Roman"/>
              </w:rPr>
              <w:t xml:space="preserve">Se describen observaciones subsanadas y no subsanadas </w:t>
            </w:r>
          </w:p>
        </w:tc>
      </w:tr>
      <w:tr w:rsidR="00347EA3" w:rsidRPr="00D025E7" w:rsidTr="00E448ED">
        <w:trPr>
          <w:jc w:val="center"/>
        </w:trPr>
        <w:tc>
          <w:tcPr>
            <w:tcW w:w="2299" w:type="dxa"/>
            <w:vAlign w:val="center"/>
          </w:tcPr>
          <w:p w:rsidR="00347EA3" w:rsidRPr="00D025E7" w:rsidRDefault="00347EA3" w:rsidP="00A56331">
            <w:pPr>
              <w:jc w:val="center"/>
              <w:rPr>
                <w:rFonts w:ascii="Times New Roman" w:hAnsi="Times New Roman" w:cs="Times New Roman"/>
                <w:color w:val="000000"/>
              </w:rPr>
            </w:pPr>
            <w:r w:rsidRPr="00C9100F">
              <w:rPr>
                <w:rFonts w:ascii="Times New Roman" w:hAnsi="Times New Roman" w:cs="Times New Roman"/>
                <w:color w:val="000000"/>
              </w:rPr>
              <w:t xml:space="preserve">INFORME FINAL 24-12 MUNICIPALIDAD DE CONCHALÍ SOBRE AUDITORÍA A OBRA EJECUTADA CON CARGO AL PROGRAMA FONDO </w:t>
            </w:r>
            <w:r w:rsidRPr="00C9100F">
              <w:rPr>
                <w:rFonts w:ascii="Times New Roman" w:hAnsi="Times New Roman" w:cs="Times New Roman"/>
                <w:color w:val="000000"/>
              </w:rPr>
              <w:lastRenderedPageBreak/>
              <w:t>DE RECUPERACIÓN DE CIUDADES DE LA SUBSECRETARÍA DE DESARROLLO REGIONAL Y ADMINISTRATIVO - NOVIEMBRE 2012</w:t>
            </w:r>
          </w:p>
        </w:tc>
        <w:tc>
          <w:tcPr>
            <w:tcW w:w="1843" w:type="dxa"/>
            <w:vAlign w:val="center"/>
          </w:tcPr>
          <w:p w:rsidR="00347EA3" w:rsidRPr="00D025E7" w:rsidRDefault="00347EA3" w:rsidP="00A56331">
            <w:pPr>
              <w:jc w:val="center"/>
              <w:rPr>
                <w:rFonts w:ascii="Times New Roman" w:hAnsi="Times New Roman" w:cs="Times New Roman"/>
              </w:rPr>
            </w:pPr>
            <w:r w:rsidRPr="00C9100F">
              <w:rPr>
                <w:rFonts w:ascii="Times New Roman" w:hAnsi="Times New Roman" w:cs="Times New Roman"/>
              </w:rPr>
              <w:lastRenderedPageBreak/>
              <w:t>Contraloría General de la República</w:t>
            </w:r>
          </w:p>
        </w:tc>
        <w:tc>
          <w:tcPr>
            <w:tcW w:w="2790" w:type="dxa"/>
            <w:vAlign w:val="center"/>
          </w:tcPr>
          <w:p w:rsidR="00347EA3" w:rsidRPr="00D025E7" w:rsidRDefault="00347EA3" w:rsidP="00C9100F">
            <w:pPr>
              <w:jc w:val="center"/>
              <w:rPr>
                <w:rFonts w:ascii="Times New Roman" w:hAnsi="Times New Roman" w:cs="Times New Roman"/>
              </w:rPr>
            </w:pPr>
            <w:r>
              <w:rPr>
                <w:rFonts w:ascii="Times New Roman" w:hAnsi="Times New Roman" w:cs="Times New Roman"/>
              </w:rPr>
              <w:t>Re</w:t>
            </w:r>
            <w:r w:rsidRPr="00C9100F">
              <w:rPr>
                <w:rFonts w:ascii="Times New Roman" w:hAnsi="Times New Roman" w:cs="Times New Roman"/>
              </w:rPr>
              <w:t xml:space="preserve">alizar el examen de cuentas del contrato de obra individualizado precedentemente, verificando que en sus etapas de licitación, adjudicación y ejecución, se haya ajustado a las bases </w:t>
            </w:r>
            <w:r w:rsidRPr="00C9100F">
              <w:rPr>
                <w:rFonts w:ascii="Times New Roman" w:hAnsi="Times New Roman" w:cs="Times New Roman"/>
              </w:rPr>
              <w:lastRenderedPageBreak/>
              <w:t xml:space="preserve">administrativas generales y especiales, planos, especificaciones técnicas </w:t>
            </w:r>
            <w:r>
              <w:rPr>
                <w:rFonts w:ascii="Times New Roman" w:hAnsi="Times New Roman" w:cs="Times New Roman"/>
              </w:rPr>
              <w:t>y a la normativa que lo regula.</w:t>
            </w:r>
          </w:p>
        </w:tc>
        <w:tc>
          <w:tcPr>
            <w:tcW w:w="1292" w:type="dxa"/>
            <w:vAlign w:val="center"/>
          </w:tcPr>
          <w:p w:rsidR="00347EA3" w:rsidRPr="00D025E7" w:rsidRDefault="00347EA3" w:rsidP="00026D49">
            <w:pPr>
              <w:jc w:val="center"/>
              <w:rPr>
                <w:rFonts w:ascii="Times New Roman" w:hAnsi="Times New Roman" w:cs="Times New Roman"/>
              </w:rPr>
            </w:pPr>
            <w:r>
              <w:rPr>
                <w:rFonts w:ascii="Times New Roman" w:hAnsi="Times New Roman" w:cs="Times New Roman"/>
              </w:rPr>
              <w:lastRenderedPageBreak/>
              <w:t>Sin información</w:t>
            </w:r>
          </w:p>
        </w:tc>
        <w:tc>
          <w:tcPr>
            <w:tcW w:w="1817" w:type="dxa"/>
            <w:vAlign w:val="center"/>
          </w:tcPr>
          <w:p w:rsidR="00347EA3" w:rsidRDefault="00347EA3" w:rsidP="00A56331">
            <w:pPr>
              <w:jc w:val="center"/>
              <w:rPr>
                <w:rFonts w:ascii="Times New Roman" w:hAnsi="Times New Roman" w:cs="Times New Roman"/>
              </w:rPr>
            </w:pPr>
            <w:r>
              <w:rPr>
                <w:rFonts w:ascii="Times New Roman" w:hAnsi="Times New Roman" w:cs="Times New Roman"/>
              </w:rPr>
              <w:t>Noviembre 2012</w:t>
            </w:r>
          </w:p>
        </w:tc>
        <w:tc>
          <w:tcPr>
            <w:tcW w:w="1496" w:type="dxa"/>
            <w:vAlign w:val="center"/>
          </w:tcPr>
          <w:p w:rsidR="00347EA3" w:rsidRPr="00D025E7" w:rsidRDefault="00347EA3" w:rsidP="00A56331">
            <w:pPr>
              <w:jc w:val="center"/>
              <w:rPr>
                <w:rFonts w:ascii="Times New Roman" w:hAnsi="Times New Roman" w:cs="Times New Roman"/>
              </w:rPr>
            </w:pPr>
            <w:r>
              <w:rPr>
                <w:rFonts w:ascii="Times New Roman" w:hAnsi="Times New Roman" w:cs="Times New Roman"/>
              </w:rPr>
              <w:t>No indica</w:t>
            </w:r>
          </w:p>
        </w:tc>
        <w:tc>
          <w:tcPr>
            <w:tcW w:w="1817" w:type="dxa"/>
            <w:vAlign w:val="center"/>
          </w:tcPr>
          <w:p w:rsidR="00347EA3" w:rsidRPr="00C9100F" w:rsidRDefault="00347EA3" w:rsidP="00C9100F">
            <w:pPr>
              <w:jc w:val="center"/>
              <w:rPr>
                <w:rFonts w:ascii="Times New Roman" w:hAnsi="Times New Roman" w:cs="Times New Roman"/>
              </w:rPr>
            </w:pPr>
            <w:r w:rsidRPr="00C9100F">
              <w:rPr>
                <w:rFonts w:ascii="Times New Roman" w:hAnsi="Times New Roman" w:cs="Times New Roman"/>
              </w:rPr>
              <w:tab/>
            </w:r>
          </w:p>
          <w:p w:rsidR="00347EA3" w:rsidRPr="00D025E7" w:rsidRDefault="00347EA3" w:rsidP="00C9100F">
            <w:pPr>
              <w:jc w:val="center"/>
              <w:rPr>
                <w:rFonts w:ascii="Times New Roman" w:hAnsi="Times New Roman" w:cs="Times New Roman"/>
              </w:rPr>
            </w:pPr>
            <w:r w:rsidRPr="00C9100F">
              <w:rPr>
                <w:rFonts w:ascii="Times New Roman" w:hAnsi="Times New Roman" w:cs="Times New Roman"/>
              </w:rPr>
              <w:t>27-11-2012</w:t>
            </w:r>
          </w:p>
        </w:tc>
        <w:tc>
          <w:tcPr>
            <w:tcW w:w="1346" w:type="dxa"/>
            <w:vAlign w:val="center"/>
          </w:tcPr>
          <w:p w:rsidR="00347EA3" w:rsidRDefault="00347EA3" w:rsidP="00A56331">
            <w:pPr>
              <w:jc w:val="center"/>
            </w:pPr>
            <w:hyperlink r:id="rId9" w:history="1">
              <w:r w:rsidRPr="00C9100F">
                <w:rPr>
                  <w:rStyle w:val="Hipervnculo"/>
                </w:rPr>
                <w:t>Link</w:t>
              </w:r>
            </w:hyperlink>
          </w:p>
        </w:tc>
        <w:tc>
          <w:tcPr>
            <w:tcW w:w="2314" w:type="dxa"/>
            <w:vAlign w:val="center"/>
          </w:tcPr>
          <w:p w:rsidR="00347EA3" w:rsidRPr="00C9100F" w:rsidRDefault="00347EA3" w:rsidP="00C9100F">
            <w:pPr>
              <w:jc w:val="center"/>
              <w:rPr>
                <w:rFonts w:ascii="Times New Roman" w:hAnsi="Times New Roman" w:cs="Times New Roman"/>
              </w:rPr>
            </w:pPr>
            <w:r w:rsidRPr="00C9100F">
              <w:rPr>
                <w:rFonts w:ascii="Times New Roman" w:hAnsi="Times New Roman" w:cs="Times New Roman"/>
              </w:rPr>
              <w:tab/>
            </w:r>
          </w:p>
          <w:p w:rsidR="00347EA3" w:rsidRPr="00D025E7" w:rsidRDefault="00347EA3" w:rsidP="00C9100F">
            <w:pPr>
              <w:jc w:val="center"/>
              <w:rPr>
                <w:rFonts w:ascii="Times New Roman" w:hAnsi="Times New Roman" w:cs="Times New Roman"/>
              </w:rPr>
            </w:pPr>
            <w:r w:rsidRPr="00C9100F">
              <w:rPr>
                <w:rFonts w:ascii="Times New Roman" w:hAnsi="Times New Roman" w:cs="Times New Roman"/>
              </w:rPr>
              <w:t xml:space="preserve">La Municipalidad de Conchalí ha aportado antecedentes e iniciado acciones correctivas que han permitido subsanar la observación señalada </w:t>
            </w:r>
            <w:r w:rsidRPr="00C9100F">
              <w:rPr>
                <w:rFonts w:ascii="Times New Roman" w:hAnsi="Times New Roman" w:cs="Times New Roman"/>
              </w:rPr>
              <w:lastRenderedPageBreak/>
              <w:t>en la letra b) del acápite 3.2, aspectos administrativos, sobre la carátula del libro de obras, en el que se incorporaron los datos faltantes para dar cumplimiento a la exigencia establecida en el artículo 1.2.7 del decreto N°47, de 1992, del Ministerio de Vivienda y Urbanismo, Ordenanza General</w:t>
            </w:r>
            <w:r>
              <w:rPr>
                <w:rFonts w:ascii="Times New Roman" w:hAnsi="Times New Roman" w:cs="Times New Roman"/>
              </w:rPr>
              <w:t xml:space="preserve"> de Urbanismo y Construcciones</w:t>
            </w:r>
          </w:p>
        </w:tc>
      </w:tr>
      <w:tr w:rsidR="00347EA3" w:rsidRPr="00D025E7" w:rsidTr="00E448ED">
        <w:trPr>
          <w:jc w:val="center"/>
        </w:trPr>
        <w:tc>
          <w:tcPr>
            <w:tcW w:w="2299" w:type="dxa"/>
            <w:vAlign w:val="center"/>
          </w:tcPr>
          <w:p w:rsidR="00347EA3" w:rsidRPr="00526868" w:rsidRDefault="00347EA3" w:rsidP="00526868">
            <w:pPr>
              <w:jc w:val="center"/>
              <w:rPr>
                <w:rFonts w:ascii="Times New Roman" w:hAnsi="Times New Roman" w:cs="Times New Roman"/>
              </w:rPr>
            </w:pPr>
            <w:r w:rsidRPr="006D6729">
              <w:rPr>
                <w:rFonts w:ascii="Times New Roman" w:hAnsi="Times New Roman" w:cs="Times New Roman"/>
              </w:rPr>
              <w:lastRenderedPageBreak/>
              <w:t>INFORME FINAL N°48-11 CORPORACIÓN MUNICIPAL DE CONCHALÍ EDUCACIÓN, SALUD Y ATENCIÓN DE MENORES SOBRE SUBVENCIÓN ESCOLAR PREFERENCIAL - FEBRERO 2012</w:t>
            </w:r>
          </w:p>
        </w:tc>
        <w:tc>
          <w:tcPr>
            <w:tcW w:w="1843" w:type="dxa"/>
            <w:vAlign w:val="center"/>
          </w:tcPr>
          <w:p w:rsidR="00347EA3" w:rsidRPr="00674B20" w:rsidRDefault="00347EA3" w:rsidP="00526868">
            <w:pPr>
              <w:jc w:val="center"/>
              <w:rPr>
                <w:rFonts w:ascii="Times New Roman" w:hAnsi="Times New Roman" w:cs="Times New Roman"/>
              </w:rPr>
            </w:pPr>
            <w:r w:rsidRPr="006D6729">
              <w:rPr>
                <w:rFonts w:ascii="Times New Roman" w:hAnsi="Times New Roman" w:cs="Times New Roman"/>
              </w:rPr>
              <w:t>Contraloría General de la República</w:t>
            </w:r>
          </w:p>
        </w:tc>
        <w:tc>
          <w:tcPr>
            <w:tcW w:w="2790" w:type="dxa"/>
            <w:vAlign w:val="center"/>
          </w:tcPr>
          <w:p w:rsidR="00347EA3" w:rsidRPr="00674B20" w:rsidRDefault="00347EA3" w:rsidP="006D6729">
            <w:pPr>
              <w:jc w:val="center"/>
              <w:rPr>
                <w:rFonts w:ascii="Times New Roman" w:hAnsi="Times New Roman" w:cs="Times New Roman"/>
              </w:rPr>
            </w:pPr>
            <w:r w:rsidRPr="006D6729">
              <w:rPr>
                <w:rFonts w:ascii="Times New Roman" w:hAnsi="Times New Roman" w:cs="Times New Roman"/>
              </w:rPr>
              <w:t xml:space="preserve">La auditoría tuvo por finalidad verificar la correcta percepción y aplicación de los recursos involucrados, su consecuenteregistro, así como la veracidad, fidelidad y autenticidad de la documentación de respaldo que sustenta los gastos incurridos y su respectiva rendición </w:t>
            </w:r>
            <w:r>
              <w:rPr>
                <w:rFonts w:ascii="Times New Roman" w:hAnsi="Times New Roman" w:cs="Times New Roman"/>
              </w:rPr>
              <w:t xml:space="preserve">fondos Ley SEP </w:t>
            </w:r>
            <w:r w:rsidRPr="006D6729">
              <w:rPr>
                <w:rFonts w:ascii="Times New Roman" w:hAnsi="Times New Roman" w:cs="Times New Roman"/>
              </w:rPr>
              <w:t>al Ministerio de Educación, de acuerdo con la normativa vigente.</w:t>
            </w:r>
          </w:p>
        </w:tc>
        <w:tc>
          <w:tcPr>
            <w:tcW w:w="1292" w:type="dxa"/>
            <w:vAlign w:val="center"/>
          </w:tcPr>
          <w:p w:rsidR="00347EA3" w:rsidRDefault="00347EA3" w:rsidP="00026D49">
            <w:pPr>
              <w:jc w:val="center"/>
              <w:rPr>
                <w:rFonts w:ascii="Times New Roman" w:hAnsi="Times New Roman" w:cs="Times New Roman"/>
              </w:rPr>
            </w:pPr>
            <w:r>
              <w:rPr>
                <w:rFonts w:ascii="Times New Roman" w:hAnsi="Times New Roman" w:cs="Times New Roman"/>
              </w:rPr>
              <w:t>Sin información</w:t>
            </w:r>
          </w:p>
        </w:tc>
        <w:tc>
          <w:tcPr>
            <w:tcW w:w="1817" w:type="dxa"/>
            <w:vAlign w:val="center"/>
          </w:tcPr>
          <w:p w:rsidR="00347EA3" w:rsidRPr="007C4AD9" w:rsidRDefault="00347EA3" w:rsidP="00526868">
            <w:pPr>
              <w:jc w:val="center"/>
              <w:rPr>
                <w:rFonts w:ascii="Times New Roman" w:hAnsi="Times New Roman" w:cs="Times New Roman"/>
              </w:rPr>
            </w:pPr>
            <w:r w:rsidRPr="006D6729">
              <w:rPr>
                <w:rFonts w:ascii="Times New Roman" w:hAnsi="Times New Roman" w:cs="Times New Roman"/>
              </w:rPr>
              <w:tab/>
              <w:t>7/02/2012</w:t>
            </w:r>
          </w:p>
        </w:tc>
        <w:tc>
          <w:tcPr>
            <w:tcW w:w="1496" w:type="dxa"/>
            <w:vAlign w:val="center"/>
          </w:tcPr>
          <w:p w:rsidR="00347EA3" w:rsidRPr="007C4AD9" w:rsidRDefault="00347EA3" w:rsidP="007C4AD9">
            <w:pPr>
              <w:jc w:val="center"/>
              <w:rPr>
                <w:rFonts w:ascii="Times New Roman" w:hAnsi="Times New Roman" w:cs="Times New Roman"/>
              </w:rPr>
            </w:pPr>
            <w:r w:rsidRPr="006D6729">
              <w:rPr>
                <w:rFonts w:ascii="Times New Roman" w:hAnsi="Times New Roman" w:cs="Times New Roman"/>
              </w:rPr>
              <w:t>Entre el 1 de enero de 2010 Y el 30 de junio de 2011</w:t>
            </w:r>
          </w:p>
        </w:tc>
        <w:tc>
          <w:tcPr>
            <w:tcW w:w="1817" w:type="dxa"/>
            <w:vAlign w:val="center"/>
          </w:tcPr>
          <w:p w:rsidR="00347EA3" w:rsidRPr="007C4AD9" w:rsidRDefault="00347EA3" w:rsidP="00526868">
            <w:pPr>
              <w:jc w:val="center"/>
              <w:rPr>
                <w:rFonts w:ascii="Times New Roman" w:hAnsi="Times New Roman" w:cs="Times New Roman"/>
              </w:rPr>
            </w:pPr>
            <w:r w:rsidRPr="006D6729">
              <w:rPr>
                <w:rFonts w:ascii="Times New Roman" w:hAnsi="Times New Roman" w:cs="Times New Roman"/>
              </w:rPr>
              <w:tab/>
              <w:t>7/02/2012</w:t>
            </w:r>
          </w:p>
        </w:tc>
        <w:tc>
          <w:tcPr>
            <w:tcW w:w="1346" w:type="dxa"/>
            <w:vAlign w:val="center"/>
          </w:tcPr>
          <w:p w:rsidR="00347EA3" w:rsidRDefault="00347EA3" w:rsidP="00526868">
            <w:pPr>
              <w:jc w:val="center"/>
            </w:pPr>
            <w:hyperlink r:id="rId10" w:history="1">
              <w:r w:rsidRPr="006D6729">
                <w:rPr>
                  <w:rStyle w:val="Hipervnculo"/>
                </w:rPr>
                <w:t>Link</w:t>
              </w:r>
            </w:hyperlink>
          </w:p>
        </w:tc>
        <w:tc>
          <w:tcPr>
            <w:tcW w:w="2314" w:type="dxa"/>
            <w:vAlign w:val="center"/>
          </w:tcPr>
          <w:p w:rsidR="00347EA3" w:rsidRPr="00D025E7" w:rsidRDefault="00347EA3" w:rsidP="00526868">
            <w:pPr>
              <w:jc w:val="center"/>
              <w:rPr>
                <w:rFonts w:ascii="Times New Roman" w:hAnsi="Times New Roman" w:cs="Times New Roman"/>
              </w:rPr>
            </w:pPr>
            <w:r w:rsidRPr="006D6729">
              <w:rPr>
                <w:rFonts w:ascii="Times New Roman" w:hAnsi="Times New Roman" w:cs="Times New Roman"/>
              </w:rPr>
              <w:t xml:space="preserve">Atendidas las consideraciones expuestas durante el desarrollo del presente trabajo, corresponde concluir que la Corporación Municipalidad de Conchalí, ha regularizado algunas observaciones incluidas en el </w:t>
            </w:r>
            <w:proofErr w:type="spellStart"/>
            <w:r w:rsidRPr="006D6729">
              <w:rPr>
                <w:rFonts w:ascii="Times New Roman" w:hAnsi="Times New Roman" w:cs="Times New Roman"/>
              </w:rPr>
              <w:t>preinforme</w:t>
            </w:r>
            <w:proofErr w:type="spellEnd"/>
            <w:r w:rsidRPr="006D6729">
              <w:rPr>
                <w:rFonts w:ascii="Times New Roman" w:hAnsi="Times New Roman" w:cs="Times New Roman"/>
              </w:rPr>
              <w:t>, no obstante, deberá abocarse a resolver las subsistentes; según el detalle que sigue para unas y otras.</w:t>
            </w:r>
          </w:p>
        </w:tc>
      </w:tr>
      <w:tr w:rsidR="00347EA3" w:rsidRPr="00D025E7" w:rsidTr="00E448ED">
        <w:trPr>
          <w:jc w:val="center"/>
        </w:trPr>
        <w:tc>
          <w:tcPr>
            <w:tcW w:w="2299" w:type="dxa"/>
            <w:vAlign w:val="center"/>
          </w:tcPr>
          <w:p w:rsidR="00347EA3" w:rsidRPr="00D025E7" w:rsidRDefault="00347EA3" w:rsidP="00526868">
            <w:pPr>
              <w:jc w:val="center"/>
              <w:rPr>
                <w:rFonts w:ascii="Times New Roman" w:hAnsi="Times New Roman" w:cs="Times New Roman"/>
              </w:rPr>
            </w:pPr>
            <w:r w:rsidRPr="00526868">
              <w:rPr>
                <w:rFonts w:ascii="Times New Roman" w:hAnsi="Times New Roman" w:cs="Times New Roman"/>
              </w:rPr>
              <w:t xml:space="preserve">INFORME FINAL N° </w:t>
            </w:r>
            <w:r w:rsidRPr="00526868">
              <w:rPr>
                <w:rFonts w:ascii="Times New Roman" w:hAnsi="Times New Roman" w:cs="Times New Roman"/>
              </w:rPr>
              <w:lastRenderedPageBreak/>
              <w:t>10-11 MUNICIPALIDAD DE CONCHALÍ SOBRE AUDITORÍA A LOS MACROPROCESOS DE FINANZAS Y ABASTECIMIENTO - AGOSTO 2011</w:t>
            </w:r>
          </w:p>
        </w:tc>
        <w:tc>
          <w:tcPr>
            <w:tcW w:w="1843" w:type="dxa"/>
            <w:vAlign w:val="center"/>
          </w:tcPr>
          <w:p w:rsidR="00347EA3" w:rsidRPr="00D025E7" w:rsidRDefault="00347EA3" w:rsidP="00526868">
            <w:pPr>
              <w:jc w:val="center"/>
              <w:rPr>
                <w:rFonts w:ascii="Times New Roman" w:hAnsi="Times New Roman" w:cs="Times New Roman"/>
              </w:rPr>
            </w:pPr>
            <w:r w:rsidRPr="00674B20">
              <w:rPr>
                <w:rFonts w:ascii="Times New Roman" w:hAnsi="Times New Roman" w:cs="Times New Roman"/>
              </w:rPr>
              <w:lastRenderedPageBreak/>
              <w:t xml:space="preserve">Contraloría </w:t>
            </w:r>
            <w:r w:rsidRPr="00674B20">
              <w:rPr>
                <w:rFonts w:ascii="Times New Roman" w:hAnsi="Times New Roman" w:cs="Times New Roman"/>
              </w:rPr>
              <w:lastRenderedPageBreak/>
              <w:t>General de la República</w:t>
            </w:r>
          </w:p>
        </w:tc>
        <w:tc>
          <w:tcPr>
            <w:tcW w:w="2790" w:type="dxa"/>
            <w:vAlign w:val="center"/>
          </w:tcPr>
          <w:p w:rsidR="00347EA3" w:rsidRPr="00674B20" w:rsidRDefault="00347EA3" w:rsidP="00674B20">
            <w:pPr>
              <w:jc w:val="center"/>
              <w:rPr>
                <w:rFonts w:ascii="Times New Roman" w:hAnsi="Times New Roman" w:cs="Times New Roman"/>
              </w:rPr>
            </w:pPr>
            <w:r w:rsidRPr="00674B20">
              <w:rPr>
                <w:rFonts w:ascii="Times New Roman" w:hAnsi="Times New Roman" w:cs="Times New Roman"/>
              </w:rPr>
              <w:lastRenderedPageBreak/>
              <w:t xml:space="preserve">La auditoría tuvo por </w:t>
            </w:r>
            <w:r w:rsidRPr="00674B20">
              <w:rPr>
                <w:rFonts w:ascii="Times New Roman" w:hAnsi="Times New Roman" w:cs="Times New Roman"/>
              </w:rPr>
              <w:lastRenderedPageBreak/>
              <w:t xml:space="preserve">finalidad comprobar la veracidad y fidelidad de las cuentas, de acuerdo con la normativa contable emitida por esta Contraloría General y, la autenticidad de la documentación de respaldo, de conformidad con lo dispuesto en el artículo 95 de la ley N° 10.336, así como efectuar un análisis financiero y presupuestario de la citada entidad, acorde lo establecido en la ley N° 18.695, Orgánica Constitucional de Municipalidades, el decreto ley N° 1.263 de 1975, Ley Orgánica de Administración Financiera del Estado y, el decreto N° 854 de 2004, del Ministerio de Hacienda, sobre Clasificaciones Presupuestarias. </w:t>
            </w:r>
          </w:p>
          <w:p w:rsidR="00347EA3" w:rsidRPr="00D025E7" w:rsidRDefault="00347EA3" w:rsidP="00674B20">
            <w:pPr>
              <w:jc w:val="center"/>
              <w:rPr>
                <w:rFonts w:ascii="Times New Roman" w:hAnsi="Times New Roman" w:cs="Times New Roman"/>
              </w:rPr>
            </w:pPr>
            <w:r w:rsidRPr="00674B20">
              <w:rPr>
                <w:rFonts w:ascii="Times New Roman" w:hAnsi="Times New Roman" w:cs="Times New Roman"/>
              </w:rPr>
              <w:t xml:space="preserve">Asimismo, verificar el cumplimiento de los procesos de adquisición de bienes y servicios, en concordancia con la ley N° 19.886, de Bases sobre Contratos Administrativos de Suministro y Prestación de Servicios y su reglamento, contenido en el </w:t>
            </w:r>
            <w:r w:rsidRPr="00674B20">
              <w:rPr>
                <w:rFonts w:ascii="Times New Roman" w:hAnsi="Times New Roman" w:cs="Times New Roman"/>
              </w:rPr>
              <w:lastRenderedPageBreak/>
              <w:t>decreto N° 250, de 2004, del Ministerio de Hacienda.</w:t>
            </w:r>
          </w:p>
        </w:tc>
        <w:tc>
          <w:tcPr>
            <w:tcW w:w="1292" w:type="dxa"/>
            <w:vAlign w:val="center"/>
          </w:tcPr>
          <w:p w:rsidR="00347EA3" w:rsidRPr="00D025E7" w:rsidRDefault="00347EA3" w:rsidP="00026D49">
            <w:pPr>
              <w:jc w:val="center"/>
              <w:rPr>
                <w:rFonts w:ascii="Times New Roman" w:hAnsi="Times New Roman" w:cs="Times New Roman"/>
              </w:rPr>
            </w:pPr>
            <w:r>
              <w:rPr>
                <w:rFonts w:ascii="Times New Roman" w:hAnsi="Times New Roman" w:cs="Times New Roman"/>
              </w:rPr>
              <w:lastRenderedPageBreak/>
              <w:t xml:space="preserve">Sin </w:t>
            </w:r>
            <w:r>
              <w:rPr>
                <w:rFonts w:ascii="Times New Roman" w:hAnsi="Times New Roman" w:cs="Times New Roman"/>
              </w:rPr>
              <w:lastRenderedPageBreak/>
              <w:t>información</w:t>
            </w:r>
          </w:p>
        </w:tc>
        <w:tc>
          <w:tcPr>
            <w:tcW w:w="1817" w:type="dxa"/>
            <w:vAlign w:val="center"/>
          </w:tcPr>
          <w:p w:rsidR="00347EA3" w:rsidRPr="00D025E7" w:rsidRDefault="00347EA3" w:rsidP="00526868">
            <w:pPr>
              <w:jc w:val="center"/>
              <w:rPr>
                <w:rFonts w:ascii="Times New Roman" w:hAnsi="Times New Roman" w:cs="Times New Roman"/>
              </w:rPr>
            </w:pPr>
            <w:r w:rsidRPr="007C4AD9">
              <w:rPr>
                <w:rFonts w:ascii="Times New Roman" w:hAnsi="Times New Roman" w:cs="Times New Roman"/>
              </w:rPr>
              <w:lastRenderedPageBreak/>
              <w:t>AGOSTO 2011</w:t>
            </w:r>
          </w:p>
        </w:tc>
        <w:tc>
          <w:tcPr>
            <w:tcW w:w="1496" w:type="dxa"/>
            <w:vAlign w:val="center"/>
          </w:tcPr>
          <w:p w:rsidR="00347EA3" w:rsidRPr="007C4AD9" w:rsidRDefault="00347EA3" w:rsidP="007C4AD9">
            <w:pPr>
              <w:jc w:val="center"/>
              <w:rPr>
                <w:rFonts w:ascii="Times New Roman" w:hAnsi="Times New Roman" w:cs="Times New Roman"/>
              </w:rPr>
            </w:pPr>
            <w:r w:rsidRPr="007C4AD9">
              <w:rPr>
                <w:rFonts w:ascii="Times New Roman" w:hAnsi="Times New Roman" w:cs="Times New Roman"/>
              </w:rPr>
              <w:t xml:space="preserve">1 de enero y </w:t>
            </w:r>
            <w:r w:rsidRPr="007C4AD9">
              <w:rPr>
                <w:rFonts w:ascii="Times New Roman" w:hAnsi="Times New Roman" w:cs="Times New Roman"/>
              </w:rPr>
              <w:lastRenderedPageBreak/>
              <w:t xml:space="preserve">el 31 de diciembre </w:t>
            </w:r>
          </w:p>
          <w:p w:rsidR="00347EA3" w:rsidRPr="00D025E7" w:rsidRDefault="00347EA3" w:rsidP="007C4AD9">
            <w:pPr>
              <w:jc w:val="center"/>
              <w:rPr>
                <w:rFonts w:ascii="Times New Roman" w:hAnsi="Times New Roman" w:cs="Times New Roman"/>
              </w:rPr>
            </w:pPr>
            <w:r w:rsidRPr="007C4AD9">
              <w:rPr>
                <w:rFonts w:ascii="Times New Roman" w:hAnsi="Times New Roman" w:cs="Times New Roman"/>
              </w:rPr>
              <w:t>de 2009,</w:t>
            </w:r>
          </w:p>
        </w:tc>
        <w:tc>
          <w:tcPr>
            <w:tcW w:w="1817" w:type="dxa"/>
            <w:vAlign w:val="center"/>
          </w:tcPr>
          <w:p w:rsidR="00347EA3" w:rsidRPr="00D025E7" w:rsidRDefault="00347EA3" w:rsidP="00526868">
            <w:pPr>
              <w:jc w:val="center"/>
              <w:rPr>
                <w:rFonts w:ascii="Times New Roman" w:hAnsi="Times New Roman" w:cs="Times New Roman"/>
              </w:rPr>
            </w:pPr>
            <w:r w:rsidRPr="007C4AD9">
              <w:rPr>
                <w:rFonts w:ascii="Times New Roman" w:hAnsi="Times New Roman" w:cs="Times New Roman"/>
              </w:rPr>
              <w:lastRenderedPageBreak/>
              <w:t>22-11-2010</w:t>
            </w:r>
          </w:p>
        </w:tc>
        <w:tc>
          <w:tcPr>
            <w:tcW w:w="1346" w:type="dxa"/>
            <w:vAlign w:val="center"/>
          </w:tcPr>
          <w:p w:rsidR="00347EA3" w:rsidRPr="00D025E7" w:rsidRDefault="00347EA3" w:rsidP="00526868">
            <w:pPr>
              <w:jc w:val="center"/>
              <w:rPr>
                <w:rFonts w:ascii="Times New Roman" w:hAnsi="Times New Roman" w:cs="Times New Roman"/>
              </w:rPr>
            </w:pPr>
            <w:hyperlink r:id="rId11" w:history="1">
              <w:r w:rsidRPr="00526868">
                <w:rPr>
                  <w:rStyle w:val="Hipervnculo"/>
                  <w:rFonts w:ascii="Times New Roman" w:hAnsi="Times New Roman" w:cs="Times New Roman"/>
                </w:rPr>
                <w:t>Link</w:t>
              </w:r>
            </w:hyperlink>
          </w:p>
        </w:tc>
        <w:tc>
          <w:tcPr>
            <w:tcW w:w="2314" w:type="dxa"/>
            <w:vAlign w:val="center"/>
          </w:tcPr>
          <w:p w:rsidR="00347EA3" w:rsidRPr="00D025E7" w:rsidRDefault="00347EA3" w:rsidP="00526868">
            <w:pPr>
              <w:jc w:val="center"/>
              <w:rPr>
                <w:rFonts w:ascii="Times New Roman" w:hAnsi="Times New Roman" w:cs="Times New Roman"/>
              </w:rPr>
            </w:pPr>
            <w:r w:rsidRPr="00752543">
              <w:rPr>
                <w:rFonts w:ascii="Times New Roman" w:hAnsi="Times New Roman" w:cs="Times New Roman"/>
              </w:rPr>
              <w:t xml:space="preserve">Atendidas las </w:t>
            </w:r>
            <w:r w:rsidRPr="00752543">
              <w:rPr>
                <w:rFonts w:ascii="Times New Roman" w:hAnsi="Times New Roman" w:cs="Times New Roman"/>
              </w:rPr>
              <w:lastRenderedPageBreak/>
              <w:t xml:space="preserve">consideraciones expuestas durante el desarrollo del presente trabajo, corresponde concluir que la Municipalidad de Conchalí ha regularizado parte de las observaciones incluidas en el </w:t>
            </w:r>
            <w:proofErr w:type="spellStart"/>
            <w:r w:rsidRPr="00752543">
              <w:rPr>
                <w:rFonts w:ascii="Times New Roman" w:hAnsi="Times New Roman" w:cs="Times New Roman"/>
              </w:rPr>
              <w:t>preinforme</w:t>
            </w:r>
            <w:proofErr w:type="spellEnd"/>
            <w:r w:rsidRPr="00752543">
              <w:rPr>
                <w:rFonts w:ascii="Times New Roman" w:hAnsi="Times New Roman" w:cs="Times New Roman"/>
              </w:rPr>
              <w:t xml:space="preserve"> de esta Contraloría General, en tanto otras se mantienen, según el detalle que sigue:</w:t>
            </w:r>
          </w:p>
        </w:tc>
      </w:tr>
      <w:tr w:rsidR="00347EA3" w:rsidRPr="00D025E7" w:rsidTr="00E448ED">
        <w:trPr>
          <w:jc w:val="center"/>
        </w:trPr>
        <w:tc>
          <w:tcPr>
            <w:tcW w:w="2299" w:type="dxa"/>
            <w:vAlign w:val="center"/>
          </w:tcPr>
          <w:p w:rsidR="00347EA3" w:rsidRPr="00526868" w:rsidRDefault="00347EA3" w:rsidP="00526868">
            <w:pPr>
              <w:jc w:val="center"/>
              <w:rPr>
                <w:rFonts w:ascii="Times New Roman" w:hAnsi="Times New Roman" w:cs="Times New Roman"/>
              </w:rPr>
            </w:pPr>
            <w:r w:rsidRPr="00E50F9B">
              <w:rPr>
                <w:rFonts w:ascii="Times New Roman" w:hAnsi="Times New Roman" w:cs="Times New Roman"/>
              </w:rPr>
              <w:lastRenderedPageBreak/>
              <w:t>INFORME FINAL N° 42, DE 2010, SOBRE AUDITORÍA AL MACROPROCESO DE FINANZAS EN LA MUNICIPALIDAD DE CONCHALI</w:t>
            </w:r>
          </w:p>
        </w:tc>
        <w:tc>
          <w:tcPr>
            <w:tcW w:w="1843" w:type="dxa"/>
            <w:vAlign w:val="center"/>
          </w:tcPr>
          <w:p w:rsidR="00347EA3" w:rsidRPr="00674B20" w:rsidRDefault="00347EA3" w:rsidP="00526868">
            <w:pPr>
              <w:jc w:val="center"/>
              <w:rPr>
                <w:rFonts w:ascii="Times New Roman" w:hAnsi="Times New Roman" w:cs="Times New Roman"/>
              </w:rPr>
            </w:pPr>
            <w:r w:rsidRPr="00E50F9B">
              <w:rPr>
                <w:rFonts w:ascii="Times New Roman" w:hAnsi="Times New Roman" w:cs="Times New Roman"/>
              </w:rPr>
              <w:t>Contraloría General de la República</w:t>
            </w:r>
          </w:p>
        </w:tc>
        <w:tc>
          <w:tcPr>
            <w:tcW w:w="2790" w:type="dxa"/>
            <w:vAlign w:val="center"/>
          </w:tcPr>
          <w:p w:rsidR="00347EA3" w:rsidRPr="00E50F9B" w:rsidRDefault="00347EA3" w:rsidP="00E50F9B">
            <w:pPr>
              <w:jc w:val="center"/>
              <w:rPr>
                <w:rFonts w:ascii="Times New Roman" w:hAnsi="Times New Roman" w:cs="Times New Roman"/>
              </w:rPr>
            </w:pPr>
            <w:bookmarkStart w:id="1" w:name="OLE_LINK1"/>
            <w:r w:rsidRPr="00E50F9B">
              <w:rPr>
                <w:rFonts w:ascii="Times New Roman" w:hAnsi="Times New Roman" w:cs="Times New Roman"/>
              </w:rPr>
              <w:t>La auditoría tuvo por finalidad comprobar la</w:t>
            </w:r>
          </w:p>
          <w:p w:rsidR="00347EA3" w:rsidRPr="00E50F9B" w:rsidRDefault="00347EA3" w:rsidP="00E50F9B">
            <w:pPr>
              <w:jc w:val="center"/>
              <w:rPr>
                <w:rFonts w:ascii="Times New Roman" w:hAnsi="Times New Roman" w:cs="Times New Roman"/>
              </w:rPr>
            </w:pPr>
            <w:r w:rsidRPr="00E50F9B">
              <w:rPr>
                <w:rFonts w:ascii="Times New Roman" w:hAnsi="Times New Roman" w:cs="Times New Roman"/>
              </w:rPr>
              <w:t>veracidad y fidelidad de las cuentas, de acuerdo con la normativa contable emitida poresta Contraloría General, y la autenticidad de la documentación de respaldo, deconformidad con lo dispuesto en el artículo 95 de la ley N° 10.336, así como efectuarun análisis financiero y presupuestario de la citada entidad, acorde lo establecido en la</w:t>
            </w:r>
          </w:p>
          <w:p w:rsidR="00347EA3" w:rsidRPr="00E50F9B" w:rsidRDefault="00347EA3" w:rsidP="00E50F9B">
            <w:pPr>
              <w:jc w:val="center"/>
              <w:rPr>
                <w:rFonts w:ascii="Times New Roman" w:hAnsi="Times New Roman" w:cs="Times New Roman"/>
              </w:rPr>
            </w:pPr>
            <w:r w:rsidRPr="00E50F9B">
              <w:rPr>
                <w:rFonts w:ascii="Times New Roman" w:hAnsi="Times New Roman" w:cs="Times New Roman"/>
              </w:rPr>
              <w:t>ley N° 18.695, Orgánica Constitucional de Municipalidades, el decreto ley N° 1.263 de</w:t>
            </w:r>
          </w:p>
          <w:p w:rsidR="00347EA3" w:rsidRPr="00674B20" w:rsidRDefault="00347EA3" w:rsidP="00E448ED">
            <w:pPr>
              <w:jc w:val="center"/>
              <w:rPr>
                <w:rFonts w:ascii="Times New Roman" w:hAnsi="Times New Roman" w:cs="Times New Roman"/>
              </w:rPr>
            </w:pPr>
            <w:r w:rsidRPr="00E50F9B">
              <w:rPr>
                <w:rFonts w:ascii="Times New Roman" w:hAnsi="Times New Roman" w:cs="Times New Roman"/>
              </w:rPr>
              <w:t>1975, Ley Orgánica de Administración Financiera del Estado y el decreto N° 854 de2004, del Ministerio de Hacienda, sobre Clasificaciones Presupuestarias.</w:t>
            </w:r>
            <w:bookmarkEnd w:id="1"/>
          </w:p>
        </w:tc>
        <w:tc>
          <w:tcPr>
            <w:tcW w:w="1292" w:type="dxa"/>
            <w:vAlign w:val="center"/>
          </w:tcPr>
          <w:p w:rsidR="00347EA3" w:rsidRPr="00D025E7" w:rsidRDefault="00347EA3" w:rsidP="00026D49">
            <w:pPr>
              <w:jc w:val="center"/>
              <w:rPr>
                <w:rFonts w:ascii="Times New Roman" w:hAnsi="Times New Roman" w:cs="Times New Roman"/>
              </w:rPr>
            </w:pPr>
            <w:r>
              <w:rPr>
                <w:rFonts w:ascii="Times New Roman" w:hAnsi="Times New Roman" w:cs="Times New Roman"/>
              </w:rPr>
              <w:t>Sin información</w:t>
            </w:r>
          </w:p>
        </w:tc>
        <w:tc>
          <w:tcPr>
            <w:tcW w:w="1817" w:type="dxa"/>
            <w:vAlign w:val="center"/>
          </w:tcPr>
          <w:p w:rsidR="00347EA3" w:rsidRPr="007C4AD9" w:rsidRDefault="00347EA3" w:rsidP="00526868">
            <w:pPr>
              <w:jc w:val="center"/>
              <w:rPr>
                <w:rFonts w:ascii="Times New Roman" w:hAnsi="Times New Roman" w:cs="Times New Roman"/>
              </w:rPr>
            </w:pPr>
            <w:r>
              <w:rPr>
                <w:rFonts w:ascii="Times New Roman" w:hAnsi="Times New Roman" w:cs="Times New Roman"/>
              </w:rPr>
              <w:t>07/02/2012</w:t>
            </w:r>
          </w:p>
        </w:tc>
        <w:tc>
          <w:tcPr>
            <w:tcW w:w="1496" w:type="dxa"/>
            <w:vAlign w:val="center"/>
          </w:tcPr>
          <w:p w:rsidR="00347EA3" w:rsidRPr="007C4AD9" w:rsidRDefault="00347EA3" w:rsidP="007C4AD9">
            <w:pPr>
              <w:jc w:val="center"/>
              <w:rPr>
                <w:rFonts w:ascii="Times New Roman" w:hAnsi="Times New Roman" w:cs="Times New Roman"/>
              </w:rPr>
            </w:pPr>
            <w:r w:rsidRPr="00527AA8">
              <w:rPr>
                <w:rFonts w:ascii="Times New Roman" w:hAnsi="Times New Roman" w:cs="Times New Roman"/>
              </w:rPr>
              <w:t>Entre el 1 de enero de 2010 Y el 30 de junio de 2011</w:t>
            </w:r>
          </w:p>
        </w:tc>
        <w:tc>
          <w:tcPr>
            <w:tcW w:w="1817" w:type="dxa"/>
            <w:vAlign w:val="center"/>
          </w:tcPr>
          <w:p w:rsidR="00347EA3" w:rsidRPr="007C4AD9" w:rsidRDefault="00347EA3" w:rsidP="00526868">
            <w:pPr>
              <w:jc w:val="center"/>
              <w:rPr>
                <w:rFonts w:ascii="Times New Roman" w:hAnsi="Times New Roman" w:cs="Times New Roman"/>
              </w:rPr>
            </w:pPr>
            <w:r>
              <w:rPr>
                <w:rFonts w:ascii="Times New Roman" w:hAnsi="Times New Roman" w:cs="Times New Roman"/>
              </w:rPr>
              <w:t>Febrero 2012</w:t>
            </w:r>
          </w:p>
        </w:tc>
        <w:tc>
          <w:tcPr>
            <w:tcW w:w="1346" w:type="dxa"/>
            <w:vAlign w:val="center"/>
          </w:tcPr>
          <w:p w:rsidR="00347EA3" w:rsidRDefault="00347EA3" w:rsidP="00526868">
            <w:pPr>
              <w:jc w:val="center"/>
            </w:pPr>
            <w:hyperlink r:id="rId12" w:history="1">
              <w:r w:rsidRPr="00752543">
                <w:rPr>
                  <w:rStyle w:val="Hipervnculo"/>
                </w:rPr>
                <w:t>Link</w:t>
              </w:r>
            </w:hyperlink>
          </w:p>
        </w:tc>
        <w:tc>
          <w:tcPr>
            <w:tcW w:w="2314" w:type="dxa"/>
            <w:vAlign w:val="center"/>
          </w:tcPr>
          <w:p w:rsidR="00347EA3" w:rsidRPr="00D025E7" w:rsidRDefault="00347EA3" w:rsidP="00526868">
            <w:pPr>
              <w:jc w:val="center"/>
              <w:rPr>
                <w:rFonts w:ascii="Times New Roman" w:hAnsi="Times New Roman" w:cs="Times New Roman"/>
              </w:rPr>
            </w:pPr>
            <w:r w:rsidRPr="00527AA8">
              <w:rPr>
                <w:rFonts w:ascii="Times New Roman" w:hAnsi="Times New Roman" w:cs="Times New Roman"/>
              </w:rPr>
              <w:t xml:space="preserve">Atendidas las consideraciones expuestas durante el desarrollo del presente trabajo, corresponde concluir que la Corporación Municipalidad de Conchalí, ha regularizado algunas observaciones incluidas en el </w:t>
            </w:r>
            <w:proofErr w:type="spellStart"/>
            <w:r w:rsidRPr="00527AA8">
              <w:rPr>
                <w:rFonts w:ascii="Times New Roman" w:hAnsi="Times New Roman" w:cs="Times New Roman"/>
              </w:rPr>
              <w:t>preinforme</w:t>
            </w:r>
            <w:proofErr w:type="spellEnd"/>
            <w:r w:rsidRPr="00527AA8">
              <w:rPr>
                <w:rFonts w:ascii="Times New Roman" w:hAnsi="Times New Roman" w:cs="Times New Roman"/>
              </w:rPr>
              <w:t>, no obstante, deberá abocarse a resolver las subsistentes; según el detalle que sigue para unas y otras.</w:t>
            </w:r>
          </w:p>
        </w:tc>
      </w:tr>
      <w:tr w:rsidR="00347EA3" w:rsidRPr="00D025E7" w:rsidTr="00E448ED">
        <w:trPr>
          <w:jc w:val="center"/>
        </w:trPr>
        <w:tc>
          <w:tcPr>
            <w:tcW w:w="2299" w:type="dxa"/>
            <w:vAlign w:val="center"/>
          </w:tcPr>
          <w:p w:rsidR="00347EA3" w:rsidRPr="00E50F9B" w:rsidRDefault="00347EA3" w:rsidP="00526868">
            <w:pPr>
              <w:jc w:val="center"/>
              <w:rPr>
                <w:rFonts w:ascii="Times New Roman" w:hAnsi="Times New Roman" w:cs="Times New Roman"/>
              </w:rPr>
            </w:pPr>
            <w:r w:rsidRPr="00E448ED">
              <w:rPr>
                <w:rFonts w:ascii="Times New Roman" w:hAnsi="Times New Roman" w:cs="Times New Roman"/>
              </w:rPr>
              <w:t xml:space="preserve">INFORME FINAL N° 31, DE 2010, SOBRE AUDITORÍA A LOS RECURSOS FÍSICOS Y FINANCIEROS DESTINADOS PARA </w:t>
            </w:r>
            <w:r w:rsidRPr="00E448ED">
              <w:rPr>
                <w:rFonts w:ascii="Times New Roman" w:hAnsi="Times New Roman" w:cs="Times New Roman"/>
              </w:rPr>
              <w:lastRenderedPageBreak/>
              <w:t>ATENDER SITUACIONES DE EMERGENCIA EN LA MUNICIPALIDAD DE CONCHALÍ.</w:t>
            </w:r>
          </w:p>
        </w:tc>
        <w:tc>
          <w:tcPr>
            <w:tcW w:w="1843" w:type="dxa"/>
            <w:vAlign w:val="center"/>
          </w:tcPr>
          <w:p w:rsidR="00347EA3" w:rsidRPr="00E50F9B" w:rsidRDefault="00347EA3" w:rsidP="00526868">
            <w:pPr>
              <w:jc w:val="center"/>
              <w:rPr>
                <w:rFonts w:ascii="Times New Roman" w:hAnsi="Times New Roman" w:cs="Times New Roman"/>
              </w:rPr>
            </w:pPr>
            <w:r w:rsidRPr="00E448ED">
              <w:rPr>
                <w:rFonts w:ascii="Times New Roman" w:hAnsi="Times New Roman" w:cs="Times New Roman"/>
              </w:rPr>
              <w:lastRenderedPageBreak/>
              <w:t>Contraloría General de la República</w:t>
            </w:r>
          </w:p>
        </w:tc>
        <w:tc>
          <w:tcPr>
            <w:tcW w:w="2790" w:type="dxa"/>
            <w:vAlign w:val="center"/>
          </w:tcPr>
          <w:p w:rsidR="00347EA3" w:rsidRPr="00E448ED" w:rsidRDefault="00347EA3" w:rsidP="00E448ED">
            <w:pPr>
              <w:jc w:val="center"/>
              <w:rPr>
                <w:rFonts w:ascii="Times New Roman" w:hAnsi="Times New Roman" w:cs="Times New Roman"/>
              </w:rPr>
            </w:pPr>
            <w:r w:rsidRPr="00E448ED">
              <w:rPr>
                <w:rFonts w:ascii="Times New Roman" w:hAnsi="Times New Roman" w:cs="Times New Roman"/>
              </w:rPr>
              <w:t>La auditoría tuvo por finalidad verificar la</w:t>
            </w:r>
          </w:p>
          <w:p w:rsidR="00347EA3" w:rsidRPr="00E448ED" w:rsidRDefault="00347EA3" w:rsidP="00E448ED">
            <w:pPr>
              <w:jc w:val="center"/>
              <w:rPr>
                <w:rFonts w:ascii="Times New Roman" w:hAnsi="Times New Roman" w:cs="Times New Roman"/>
              </w:rPr>
            </w:pPr>
            <w:r w:rsidRPr="00E448ED">
              <w:rPr>
                <w:rFonts w:ascii="Times New Roman" w:hAnsi="Times New Roman" w:cs="Times New Roman"/>
              </w:rPr>
              <w:t>correcta utilización e inversión de los recursos físicos y financieros transferidos por el</w:t>
            </w:r>
          </w:p>
          <w:p w:rsidR="00347EA3" w:rsidRPr="00E50F9B" w:rsidRDefault="00347EA3" w:rsidP="00E448ED">
            <w:pPr>
              <w:jc w:val="center"/>
              <w:rPr>
                <w:rFonts w:ascii="Times New Roman" w:hAnsi="Times New Roman" w:cs="Times New Roman"/>
              </w:rPr>
            </w:pPr>
            <w:r w:rsidRPr="00E448ED">
              <w:rPr>
                <w:rFonts w:ascii="Times New Roman" w:hAnsi="Times New Roman" w:cs="Times New Roman"/>
              </w:rPr>
              <w:lastRenderedPageBreak/>
              <w:t>Ministerio del Interior, de acuerdo con lo dispuesto en la resolución exenta N° 1.789,de 9 de marzo de 2010, modificada por la N° 2.284, del mismo mes, ambas de laSubsecretaría del Interior, sobre Fondos de Emergencia y, la circular N° 27, de 30 demarzo del año en curso, del citado Ministerio, que impartió instrucciones a lasmunicipalidades para la implementación del Programa Manos a la Obra. Asimismo,validar la recepción y distribución de especies remitidas por la Oficina Nacional deEmergencia, ONEMI, para ayudar a las familias damnificadas por el terremotoacontecido el 27 de febrero de 2010.</w:t>
            </w:r>
          </w:p>
        </w:tc>
        <w:tc>
          <w:tcPr>
            <w:tcW w:w="1292" w:type="dxa"/>
            <w:vAlign w:val="center"/>
          </w:tcPr>
          <w:p w:rsidR="00347EA3" w:rsidRDefault="00347EA3" w:rsidP="00026D49">
            <w:pPr>
              <w:jc w:val="center"/>
              <w:rPr>
                <w:rFonts w:ascii="Times New Roman" w:hAnsi="Times New Roman" w:cs="Times New Roman"/>
              </w:rPr>
            </w:pPr>
            <w:r>
              <w:rPr>
                <w:rFonts w:ascii="Times New Roman" w:hAnsi="Times New Roman" w:cs="Times New Roman"/>
              </w:rPr>
              <w:lastRenderedPageBreak/>
              <w:t>Sin información</w:t>
            </w:r>
          </w:p>
        </w:tc>
        <w:tc>
          <w:tcPr>
            <w:tcW w:w="1817" w:type="dxa"/>
            <w:vAlign w:val="center"/>
          </w:tcPr>
          <w:p w:rsidR="00347EA3" w:rsidRDefault="00347EA3" w:rsidP="00526868">
            <w:pPr>
              <w:jc w:val="center"/>
              <w:rPr>
                <w:rFonts w:ascii="Times New Roman" w:hAnsi="Times New Roman" w:cs="Times New Roman"/>
              </w:rPr>
            </w:pPr>
            <w:r w:rsidRPr="00E448ED">
              <w:rPr>
                <w:rFonts w:ascii="Times New Roman" w:hAnsi="Times New Roman" w:cs="Times New Roman"/>
              </w:rPr>
              <w:t>16/08/2010</w:t>
            </w:r>
          </w:p>
        </w:tc>
        <w:tc>
          <w:tcPr>
            <w:tcW w:w="1496" w:type="dxa"/>
            <w:vAlign w:val="center"/>
          </w:tcPr>
          <w:p w:rsidR="00347EA3" w:rsidRPr="00527AA8" w:rsidRDefault="00347EA3" w:rsidP="007C4AD9">
            <w:pPr>
              <w:jc w:val="center"/>
              <w:rPr>
                <w:rFonts w:ascii="Times New Roman" w:hAnsi="Times New Roman" w:cs="Times New Roman"/>
              </w:rPr>
            </w:pPr>
            <w:r w:rsidRPr="00E448ED">
              <w:rPr>
                <w:rFonts w:ascii="Times New Roman" w:hAnsi="Times New Roman" w:cs="Times New Roman"/>
              </w:rPr>
              <w:t>El período comprendido entre el 27 de febrero y el 30 de abril de 2010.</w:t>
            </w:r>
          </w:p>
        </w:tc>
        <w:tc>
          <w:tcPr>
            <w:tcW w:w="1817" w:type="dxa"/>
            <w:vAlign w:val="center"/>
          </w:tcPr>
          <w:p w:rsidR="00347EA3" w:rsidRDefault="00347EA3" w:rsidP="00526868">
            <w:pPr>
              <w:jc w:val="center"/>
              <w:rPr>
                <w:rFonts w:ascii="Times New Roman" w:hAnsi="Times New Roman" w:cs="Times New Roman"/>
              </w:rPr>
            </w:pPr>
            <w:r w:rsidRPr="00E448ED">
              <w:rPr>
                <w:rFonts w:ascii="Times New Roman" w:hAnsi="Times New Roman" w:cs="Times New Roman"/>
              </w:rPr>
              <w:t>16/08/2010</w:t>
            </w:r>
          </w:p>
        </w:tc>
        <w:tc>
          <w:tcPr>
            <w:tcW w:w="1346" w:type="dxa"/>
            <w:vAlign w:val="center"/>
          </w:tcPr>
          <w:p w:rsidR="00347EA3" w:rsidRDefault="00347EA3" w:rsidP="00526868">
            <w:pPr>
              <w:jc w:val="center"/>
            </w:pPr>
            <w:hyperlink r:id="rId13" w:history="1">
              <w:r w:rsidRPr="00E448ED">
                <w:rPr>
                  <w:rStyle w:val="Hipervnculo"/>
                </w:rPr>
                <w:t>Link</w:t>
              </w:r>
            </w:hyperlink>
          </w:p>
        </w:tc>
        <w:tc>
          <w:tcPr>
            <w:tcW w:w="2314" w:type="dxa"/>
            <w:vAlign w:val="center"/>
          </w:tcPr>
          <w:p w:rsidR="00347EA3" w:rsidRPr="00E448ED" w:rsidRDefault="00347EA3" w:rsidP="00E448ED">
            <w:pPr>
              <w:jc w:val="center"/>
              <w:rPr>
                <w:rFonts w:ascii="Times New Roman" w:hAnsi="Times New Roman" w:cs="Times New Roman"/>
              </w:rPr>
            </w:pPr>
            <w:r w:rsidRPr="00E448ED">
              <w:rPr>
                <w:rFonts w:ascii="Times New Roman" w:hAnsi="Times New Roman" w:cs="Times New Roman"/>
              </w:rPr>
              <w:t>Atendidas las consideraciones expuestas</w:t>
            </w:r>
          </w:p>
          <w:p w:rsidR="00347EA3" w:rsidRPr="00E448ED" w:rsidRDefault="00347EA3" w:rsidP="00E448ED">
            <w:pPr>
              <w:jc w:val="center"/>
              <w:rPr>
                <w:rFonts w:ascii="Times New Roman" w:hAnsi="Times New Roman" w:cs="Times New Roman"/>
              </w:rPr>
            </w:pPr>
            <w:r w:rsidRPr="00E448ED">
              <w:rPr>
                <w:rFonts w:ascii="Times New Roman" w:hAnsi="Times New Roman" w:cs="Times New Roman"/>
              </w:rPr>
              <w:t xml:space="preserve">durante el desarrollo del presente trabajo, corresponde concluir </w:t>
            </w:r>
            <w:r w:rsidRPr="00E448ED">
              <w:rPr>
                <w:rFonts w:ascii="Times New Roman" w:hAnsi="Times New Roman" w:cs="Times New Roman"/>
              </w:rPr>
              <w:lastRenderedPageBreak/>
              <w:t>que la Municipalidad</w:t>
            </w:r>
          </w:p>
          <w:p w:rsidR="00347EA3" w:rsidRPr="00E448ED" w:rsidRDefault="00347EA3" w:rsidP="00E448ED">
            <w:pPr>
              <w:jc w:val="center"/>
              <w:rPr>
                <w:rFonts w:ascii="Times New Roman" w:hAnsi="Times New Roman" w:cs="Times New Roman"/>
              </w:rPr>
            </w:pPr>
            <w:r w:rsidRPr="00E448ED">
              <w:rPr>
                <w:rFonts w:ascii="Times New Roman" w:hAnsi="Times New Roman" w:cs="Times New Roman"/>
              </w:rPr>
              <w:t>de Conchalí, en general, se ha ajustado a los objetivos y procedimientos establecidos</w:t>
            </w:r>
          </w:p>
          <w:p w:rsidR="00347EA3" w:rsidRPr="00E448ED" w:rsidRDefault="00347EA3" w:rsidP="00E448ED">
            <w:pPr>
              <w:jc w:val="center"/>
              <w:rPr>
                <w:rFonts w:ascii="Times New Roman" w:hAnsi="Times New Roman" w:cs="Times New Roman"/>
              </w:rPr>
            </w:pPr>
            <w:r w:rsidRPr="00E448ED">
              <w:rPr>
                <w:rFonts w:ascii="Times New Roman" w:hAnsi="Times New Roman" w:cs="Times New Roman"/>
              </w:rPr>
              <w:t>para hacer frente a la emergencia derivada del sismo del 27 de febrero de 2010, en</w:t>
            </w:r>
          </w:p>
          <w:p w:rsidR="00347EA3" w:rsidRPr="00E448ED" w:rsidRDefault="00347EA3" w:rsidP="00E448ED">
            <w:pPr>
              <w:jc w:val="center"/>
              <w:rPr>
                <w:rFonts w:ascii="Times New Roman" w:hAnsi="Times New Roman" w:cs="Times New Roman"/>
              </w:rPr>
            </w:pPr>
            <w:r w:rsidRPr="00E448ED">
              <w:rPr>
                <w:rFonts w:ascii="Times New Roman" w:hAnsi="Times New Roman" w:cs="Times New Roman"/>
              </w:rPr>
              <w:t>relación con los aspectos revisados en la presente fiscalización, sin perjuicio de lo</w:t>
            </w:r>
          </w:p>
          <w:p w:rsidR="00347EA3" w:rsidRPr="00E448ED" w:rsidRDefault="00347EA3" w:rsidP="00E448ED">
            <w:pPr>
              <w:jc w:val="center"/>
              <w:rPr>
                <w:rFonts w:ascii="Times New Roman" w:hAnsi="Times New Roman" w:cs="Times New Roman"/>
              </w:rPr>
            </w:pPr>
            <w:r w:rsidRPr="00E448ED">
              <w:rPr>
                <w:rFonts w:ascii="Times New Roman" w:hAnsi="Times New Roman" w:cs="Times New Roman"/>
              </w:rPr>
              <w:t>cual, deberá arbitrar las medidas tendientes a regularizar las observaciones</w:t>
            </w:r>
          </w:p>
          <w:p w:rsidR="00347EA3" w:rsidRPr="00527AA8" w:rsidRDefault="00347EA3" w:rsidP="00E448ED">
            <w:pPr>
              <w:jc w:val="center"/>
              <w:rPr>
                <w:rFonts w:ascii="Times New Roman" w:hAnsi="Times New Roman" w:cs="Times New Roman"/>
              </w:rPr>
            </w:pPr>
            <w:r w:rsidRPr="00E448ED">
              <w:rPr>
                <w:rFonts w:ascii="Times New Roman" w:hAnsi="Times New Roman" w:cs="Times New Roman"/>
              </w:rPr>
              <w:t>pendientes, a saber:</w:t>
            </w:r>
          </w:p>
        </w:tc>
      </w:tr>
      <w:tr w:rsidR="00347EA3" w:rsidRPr="00D025E7" w:rsidTr="00E448ED">
        <w:trPr>
          <w:jc w:val="center"/>
        </w:trPr>
        <w:tc>
          <w:tcPr>
            <w:tcW w:w="2299" w:type="dxa"/>
            <w:vAlign w:val="center"/>
          </w:tcPr>
          <w:p w:rsidR="00347EA3" w:rsidRPr="00E50F9B" w:rsidRDefault="00347EA3" w:rsidP="00526868">
            <w:pPr>
              <w:jc w:val="center"/>
              <w:rPr>
                <w:rFonts w:ascii="Times New Roman" w:hAnsi="Times New Roman" w:cs="Times New Roman"/>
              </w:rPr>
            </w:pPr>
            <w:r w:rsidRPr="00E448ED">
              <w:rPr>
                <w:rFonts w:ascii="Times New Roman" w:hAnsi="Times New Roman" w:cs="Times New Roman"/>
              </w:rPr>
              <w:lastRenderedPageBreak/>
              <w:t>INFORME FINAL N° 258 SOBRE AUDITORÍA AL MACROPROCESO GENERACIÓN DE RECURSOS EFECTA DA EN LA MUNICIPALIDAD DE CONCHALÍ</w:t>
            </w:r>
          </w:p>
        </w:tc>
        <w:tc>
          <w:tcPr>
            <w:tcW w:w="1843" w:type="dxa"/>
            <w:vAlign w:val="center"/>
          </w:tcPr>
          <w:p w:rsidR="00347EA3" w:rsidRPr="00E50F9B" w:rsidRDefault="00347EA3" w:rsidP="00526868">
            <w:pPr>
              <w:jc w:val="center"/>
              <w:rPr>
                <w:rFonts w:ascii="Times New Roman" w:hAnsi="Times New Roman" w:cs="Times New Roman"/>
              </w:rPr>
            </w:pPr>
            <w:r w:rsidRPr="00E448ED">
              <w:rPr>
                <w:rFonts w:ascii="Times New Roman" w:hAnsi="Times New Roman" w:cs="Times New Roman"/>
              </w:rPr>
              <w:t>Contraloría General de la República</w:t>
            </w:r>
          </w:p>
        </w:tc>
        <w:tc>
          <w:tcPr>
            <w:tcW w:w="2790" w:type="dxa"/>
            <w:vAlign w:val="center"/>
          </w:tcPr>
          <w:p w:rsidR="00347EA3" w:rsidRPr="00E448ED" w:rsidRDefault="00347EA3" w:rsidP="00E448ED">
            <w:pPr>
              <w:jc w:val="center"/>
              <w:rPr>
                <w:rFonts w:ascii="Times New Roman" w:hAnsi="Times New Roman" w:cs="Times New Roman"/>
              </w:rPr>
            </w:pPr>
            <w:r w:rsidRPr="00E448ED">
              <w:rPr>
                <w:rFonts w:ascii="Times New Roman" w:hAnsi="Times New Roman" w:cs="Times New Roman"/>
              </w:rPr>
              <w:t>El propósito de la revisión consistió en verificar la debida percepción y recaudación de los ingresos generados , por los</w:t>
            </w:r>
          </w:p>
          <w:p w:rsidR="00347EA3" w:rsidRPr="00E50F9B" w:rsidRDefault="00347EA3" w:rsidP="00E448ED">
            <w:pPr>
              <w:jc w:val="center"/>
              <w:rPr>
                <w:rFonts w:ascii="Times New Roman" w:hAnsi="Times New Roman" w:cs="Times New Roman"/>
              </w:rPr>
            </w:pPr>
            <w:proofErr w:type="gramStart"/>
            <w:r w:rsidRPr="00E448ED">
              <w:rPr>
                <w:rFonts w:ascii="Times New Roman" w:hAnsi="Times New Roman" w:cs="Times New Roman"/>
              </w:rPr>
              <w:t>procesos</w:t>
            </w:r>
            <w:proofErr w:type="gramEnd"/>
            <w:r w:rsidRPr="00E448ED">
              <w:rPr>
                <w:rFonts w:ascii="Times New Roman" w:hAnsi="Times New Roman" w:cs="Times New Roman"/>
              </w:rPr>
              <w:t xml:space="preserve"> de permisos de circulación, patentes comerciales, industriales, profesionales y de alcoholes; </w:t>
            </w:r>
            <w:r w:rsidRPr="00E448ED">
              <w:rPr>
                <w:rFonts w:ascii="Times New Roman" w:hAnsi="Times New Roman" w:cs="Times New Roman"/>
              </w:rPr>
              <w:lastRenderedPageBreak/>
              <w:t>y, derechos y permisos, de conformidad con lo dispuesto en el decreto ley N° 3.063 de 1979, Ley de Rentas Municipales.</w:t>
            </w:r>
          </w:p>
        </w:tc>
        <w:tc>
          <w:tcPr>
            <w:tcW w:w="1292" w:type="dxa"/>
            <w:vAlign w:val="center"/>
          </w:tcPr>
          <w:p w:rsidR="00347EA3" w:rsidRDefault="00347EA3" w:rsidP="00026D49">
            <w:pPr>
              <w:jc w:val="center"/>
              <w:rPr>
                <w:rFonts w:ascii="Times New Roman" w:hAnsi="Times New Roman" w:cs="Times New Roman"/>
              </w:rPr>
            </w:pPr>
            <w:r>
              <w:rPr>
                <w:rFonts w:ascii="Times New Roman" w:hAnsi="Times New Roman" w:cs="Times New Roman"/>
              </w:rPr>
              <w:lastRenderedPageBreak/>
              <w:t>Sin información</w:t>
            </w:r>
          </w:p>
        </w:tc>
        <w:tc>
          <w:tcPr>
            <w:tcW w:w="1817" w:type="dxa"/>
            <w:vAlign w:val="center"/>
          </w:tcPr>
          <w:p w:rsidR="00347EA3" w:rsidRDefault="00347EA3" w:rsidP="00526868">
            <w:pPr>
              <w:jc w:val="center"/>
              <w:rPr>
                <w:rFonts w:ascii="Times New Roman" w:hAnsi="Times New Roman" w:cs="Times New Roman"/>
              </w:rPr>
            </w:pPr>
            <w:r w:rsidRPr="00E448ED">
              <w:rPr>
                <w:rFonts w:ascii="Times New Roman" w:hAnsi="Times New Roman" w:cs="Times New Roman"/>
              </w:rPr>
              <w:t>25/11/2009</w:t>
            </w:r>
          </w:p>
        </w:tc>
        <w:tc>
          <w:tcPr>
            <w:tcW w:w="1496" w:type="dxa"/>
            <w:vAlign w:val="center"/>
          </w:tcPr>
          <w:p w:rsidR="00347EA3" w:rsidRPr="00527AA8" w:rsidRDefault="00347EA3" w:rsidP="007C4AD9">
            <w:pPr>
              <w:jc w:val="center"/>
              <w:rPr>
                <w:rFonts w:ascii="Times New Roman" w:hAnsi="Times New Roman" w:cs="Times New Roman"/>
              </w:rPr>
            </w:pPr>
            <w:proofErr w:type="spellStart"/>
            <w:r w:rsidRPr="00E448ED">
              <w:rPr>
                <w:rFonts w:ascii="Times New Roman" w:hAnsi="Times New Roman" w:cs="Times New Roman"/>
              </w:rPr>
              <w:t>DesdeeI</w:t>
            </w:r>
            <w:proofErr w:type="spellEnd"/>
            <w:r w:rsidRPr="00E448ED">
              <w:rPr>
                <w:rFonts w:ascii="Times New Roman" w:hAnsi="Times New Roman" w:cs="Times New Roman"/>
              </w:rPr>
              <w:t xml:space="preserve"> 1de julio de 2008 al 31 de marzo de 2009</w:t>
            </w:r>
          </w:p>
        </w:tc>
        <w:tc>
          <w:tcPr>
            <w:tcW w:w="1817" w:type="dxa"/>
            <w:vAlign w:val="center"/>
          </w:tcPr>
          <w:p w:rsidR="00347EA3" w:rsidRDefault="00347EA3" w:rsidP="00526868">
            <w:pPr>
              <w:jc w:val="center"/>
              <w:rPr>
                <w:rFonts w:ascii="Times New Roman" w:hAnsi="Times New Roman" w:cs="Times New Roman"/>
              </w:rPr>
            </w:pPr>
            <w:r w:rsidRPr="00E448ED">
              <w:rPr>
                <w:rFonts w:ascii="Times New Roman" w:hAnsi="Times New Roman" w:cs="Times New Roman"/>
              </w:rPr>
              <w:t>25/11/2009</w:t>
            </w:r>
          </w:p>
        </w:tc>
        <w:tc>
          <w:tcPr>
            <w:tcW w:w="1346" w:type="dxa"/>
            <w:vAlign w:val="center"/>
          </w:tcPr>
          <w:p w:rsidR="00347EA3" w:rsidRDefault="00347EA3" w:rsidP="00526868">
            <w:pPr>
              <w:jc w:val="center"/>
            </w:pPr>
            <w:hyperlink r:id="rId14" w:history="1">
              <w:r w:rsidRPr="00E448ED">
                <w:rPr>
                  <w:rStyle w:val="Hipervnculo"/>
                </w:rPr>
                <w:t>Link</w:t>
              </w:r>
            </w:hyperlink>
          </w:p>
        </w:tc>
        <w:tc>
          <w:tcPr>
            <w:tcW w:w="2314" w:type="dxa"/>
            <w:vAlign w:val="center"/>
          </w:tcPr>
          <w:p w:rsidR="00347EA3" w:rsidRPr="00E448ED" w:rsidRDefault="00347EA3" w:rsidP="00E448ED">
            <w:pPr>
              <w:jc w:val="center"/>
              <w:rPr>
                <w:rFonts w:ascii="Times New Roman" w:hAnsi="Times New Roman" w:cs="Times New Roman"/>
              </w:rPr>
            </w:pPr>
            <w:r w:rsidRPr="00E448ED">
              <w:rPr>
                <w:rFonts w:ascii="Times New Roman" w:hAnsi="Times New Roman" w:cs="Times New Roman"/>
              </w:rPr>
              <w:t xml:space="preserve">En relación con las observaciones planteadas en el punto 1, sobre control interno referidas a ausencia de sistemacomputacional para el registro y control de las patentes provisorias y de </w:t>
            </w:r>
            <w:r w:rsidRPr="00E448ED">
              <w:rPr>
                <w:rFonts w:ascii="Times New Roman" w:hAnsi="Times New Roman" w:cs="Times New Roman"/>
              </w:rPr>
              <w:lastRenderedPageBreak/>
              <w:t>programas de control, esa autoridad comunal deberá adoptar las acciones correctivas que correspondan, para solucionar las debilidades planteadas.</w:t>
            </w:r>
          </w:p>
          <w:p w:rsidR="00347EA3" w:rsidRPr="00527AA8" w:rsidRDefault="00347EA3" w:rsidP="00E448ED">
            <w:pPr>
              <w:jc w:val="center"/>
              <w:rPr>
                <w:rFonts w:ascii="Times New Roman" w:hAnsi="Times New Roman" w:cs="Times New Roman"/>
              </w:rPr>
            </w:pPr>
          </w:p>
          <w:p w:rsidR="00347EA3" w:rsidRPr="00527AA8" w:rsidRDefault="00347EA3" w:rsidP="00E448ED">
            <w:pPr>
              <w:jc w:val="center"/>
              <w:rPr>
                <w:rFonts w:ascii="Times New Roman" w:hAnsi="Times New Roman" w:cs="Times New Roman"/>
              </w:rPr>
            </w:pPr>
          </w:p>
        </w:tc>
      </w:tr>
      <w:tr w:rsidR="00347EA3" w:rsidRPr="00D025E7" w:rsidTr="00E448ED">
        <w:trPr>
          <w:jc w:val="center"/>
        </w:trPr>
        <w:tc>
          <w:tcPr>
            <w:tcW w:w="2299" w:type="dxa"/>
            <w:vAlign w:val="center"/>
          </w:tcPr>
          <w:p w:rsidR="00347EA3" w:rsidRPr="00D025E7" w:rsidRDefault="00347EA3" w:rsidP="00026D49">
            <w:pPr>
              <w:jc w:val="center"/>
              <w:rPr>
                <w:rFonts w:ascii="Verdana" w:hAnsi="Verdana" w:cs="Times New Roman"/>
                <w:b/>
              </w:rPr>
            </w:pPr>
            <w:r w:rsidRPr="00D025E7">
              <w:rPr>
                <w:rFonts w:ascii="Verdana" w:hAnsi="Verdana" w:cs="Times New Roman"/>
                <w:b/>
              </w:rPr>
              <w:lastRenderedPageBreak/>
              <w:t>Título auditoría</w:t>
            </w:r>
          </w:p>
        </w:tc>
        <w:tc>
          <w:tcPr>
            <w:tcW w:w="1843" w:type="dxa"/>
            <w:vAlign w:val="center"/>
          </w:tcPr>
          <w:p w:rsidR="00347EA3" w:rsidRPr="00D025E7" w:rsidRDefault="00347EA3" w:rsidP="00026D49">
            <w:pPr>
              <w:jc w:val="center"/>
              <w:rPr>
                <w:rFonts w:ascii="Verdana" w:hAnsi="Verdana" w:cs="Times New Roman"/>
                <w:b/>
              </w:rPr>
            </w:pPr>
            <w:r w:rsidRPr="00D025E7">
              <w:rPr>
                <w:rFonts w:ascii="Verdana" w:hAnsi="Verdana" w:cs="Times New Roman"/>
                <w:b/>
              </w:rPr>
              <w:t>Entidad que hizo la auditoría</w:t>
            </w:r>
          </w:p>
        </w:tc>
        <w:tc>
          <w:tcPr>
            <w:tcW w:w="2790" w:type="dxa"/>
            <w:vAlign w:val="center"/>
          </w:tcPr>
          <w:p w:rsidR="00347EA3" w:rsidRPr="00D025E7" w:rsidRDefault="00347EA3" w:rsidP="00026D49">
            <w:pPr>
              <w:jc w:val="center"/>
              <w:rPr>
                <w:rFonts w:ascii="Verdana" w:hAnsi="Verdana" w:cs="Times New Roman"/>
                <w:b/>
              </w:rPr>
            </w:pPr>
            <w:r w:rsidRPr="00D025E7">
              <w:rPr>
                <w:rFonts w:ascii="Verdana" w:hAnsi="Verdana" w:cs="Times New Roman"/>
                <w:b/>
              </w:rPr>
              <w:t>Materia de la auditoría</w:t>
            </w:r>
          </w:p>
        </w:tc>
        <w:tc>
          <w:tcPr>
            <w:tcW w:w="1292" w:type="dxa"/>
            <w:vAlign w:val="center"/>
          </w:tcPr>
          <w:p w:rsidR="00347EA3" w:rsidRPr="00D025E7" w:rsidRDefault="00347EA3" w:rsidP="00026D49">
            <w:pPr>
              <w:jc w:val="center"/>
              <w:rPr>
                <w:rFonts w:ascii="Verdana" w:hAnsi="Verdana" w:cs="Times New Roman"/>
                <w:b/>
              </w:rPr>
            </w:pPr>
            <w:r w:rsidRPr="00D025E7">
              <w:rPr>
                <w:rFonts w:ascii="Verdana" w:hAnsi="Verdana" w:cs="Times New Roman"/>
                <w:b/>
              </w:rPr>
              <w:t>Fecha de inicio</w:t>
            </w:r>
          </w:p>
        </w:tc>
        <w:tc>
          <w:tcPr>
            <w:tcW w:w="1817" w:type="dxa"/>
            <w:vAlign w:val="center"/>
          </w:tcPr>
          <w:p w:rsidR="00347EA3" w:rsidRPr="00D025E7" w:rsidRDefault="00347EA3" w:rsidP="00026D49">
            <w:pPr>
              <w:jc w:val="center"/>
              <w:rPr>
                <w:rFonts w:ascii="Verdana" w:hAnsi="Verdana" w:cs="Times New Roman"/>
                <w:b/>
              </w:rPr>
            </w:pPr>
            <w:r w:rsidRPr="00D025E7">
              <w:rPr>
                <w:rFonts w:ascii="Verdana" w:hAnsi="Verdana" w:cs="Times New Roman"/>
                <w:b/>
              </w:rPr>
              <w:t>Fecha de término</w:t>
            </w:r>
          </w:p>
        </w:tc>
        <w:tc>
          <w:tcPr>
            <w:tcW w:w="1496" w:type="dxa"/>
            <w:vAlign w:val="center"/>
          </w:tcPr>
          <w:p w:rsidR="00347EA3" w:rsidRPr="00D025E7" w:rsidRDefault="00347EA3" w:rsidP="00026D49">
            <w:pPr>
              <w:jc w:val="center"/>
              <w:rPr>
                <w:rFonts w:ascii="Verdana" w:hAnsi="Verdana" w:cs="Times New Roman"/>
                <w:b/>
              </w:rPr>
            </w:pPr>
            <w:r w:rsidRPr="00D025E7">
              <w:rPr>
                <w:rFonts w:ascii="Verdana" w:hAnsi="Verdana" w:cs="Times New Roman"/>
                <w:b/>
              </w:rPr>
              <w:t>Período auditado</w:t>
            </w:r>
          </w:p>
        </w:tc>
        <w:tc>
          <w:tcPr>
            <w:tcW w:w="1817" w:type="dxa"/>
            <w:vAlign w:val="center"/>
          </w:tcPr>
          <w:p w:rsidR="00347EA3" w:rsidRPr="00D025E7" w:rsidRDefault="00347EA3" w:rsidP="00026D49">
            <w:pPr>
              <w:jc w:val="center"/>
              <w:rPr>
                <w:rFonts w:ascii="Verdana" w:hAnsi="Verdana" w:cs="Times New Roman"/>
                <w:b/>
              </w:rPr>
            </w:pPr>
            <w:r w:rsidRPr="00D025E7">
              <w:rPr>
                <w:rFonts w:ascii="Verdana" w:hAnsi="Verdana" w:cs="Times New Roman"/>
                <w:b/>
              </w:rPr>
              <w:t>Fecha de publicación del informe</w:t>
            </w:r>
          </w:p>
        </w:tc>
        <w:tc>
          <w:tcPr>
            <w:tcW w:w="1346" w:type="dxa"/>
            <w:vAlign w:val="center"/>
          </w:tcPr>
          <w:p w:rsidR="00347EA3" w:rsidRPr="00D025E7" w:rsidRDefault="00347EA3" w:rsidP="00026D49">
            <w:pPr>
              <w:jc w:val="center"/>
              <w:rPr>
                <w:rFonts w:ascii="Verdana" w:hAnsi="Verdana" w:cs="Times New Roman"/>
                <w:b/>
              </w:rPr>
            </w:pPr>
            <w:r w:rsidRPr="00D025E7">
              <w:rPr>
                <w:rFonts w:ascii="Verdana" w:hAnsi="Verdana" w:cs="Times New Roman"/>
                <w:b/>
              </w:rPr>
              <w:t>Link al texto íntegro Informe final</w:t>
            </w:r>
          </w:p>
        </w:tc>
        <w:tc>
          <w:tcPr>
            <w:tcW w:w="2314" w:type="dxa"/>
            <w:vAlign w:val="center"/>
          </w:tcPr>
          <w:p w:rsidR="00347EA3" w:rsidRPr="00D025E7" w:rsidRDefault="00347EA3" w:rsidP="00026D49">
            <w:pPr>
              <w:jc w:val="center"/>
              <w:rPr>
                <w:rFonts w:ascii="Verdana" w:hAnsi="Verdana" w:cs="Times New Roman"/>
                <w:b/>
              </w:rPr>
            </w:pPr>
            <w:r w:rsidRPr="00D025E7">
              <w:rPr>
                <w:rFonts w:ascii="Verdana" w:hAnsi="Verdana" w:cs="Times New Roman"/>
                <w:b/>
              </w:rPr>
              <w:t>Respuesta del servicio</w:t>
            </w:r>
          </w:p>
        </w:tc>
      </w:tr>
    </w:tbl>
    <w:p w:rsidR="004A75C9" w:rsidRDefault="004A75C9"/>
    <w:sectPr w:rsidR="004A75C9" w:rsidSect="004A75C9">
      <w:pgSz w:w="18711" w:h="12242" w:orient="landscape"/>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grammar="clean"/>
  <w:defaultTabStop w:val="708"/>
  <w:hyphenationZone w:val="425"/>
  <w:characterSpacingControl w:val="doNotCompress"/>
  <w:compat/>
  <w:rsids>
    <w:rsidRoot w:val="007921B6"/>
    <w:rsid w:val="00017E6B"/>
    <w:rsid w:val="000F71AC"/>
    <w:rsid w:val="00115E92"/>
    <w:rsid w:val="00175D76"/>
    <w:rsid w:val="00191DD2"/>
    <w:rsid w:val="0019547D"/>
    <w:rsid w:val="001A6444"/>
    <w:rsid w:val="0022669A"/>
    <w:rsid w:val="00295F5A"/>
    <w:rsid w:val="002E2282"/>
    <w:rsid w:val="00347EA3"/>
    <w:rsid w:val="00356841"/>
    <w:rsid w:val="00433F0B"/>
    <w:rsid w:val="004463CE"/>
    <w:rsid w:val="004A75C9"/>
    <w:rsid w:val="00526868"/>
    <w:rsid w:val="00527AA8"/>
    <w:rsid w:val="005E697D"/>
    <w:rsid w:val="00674B20"/>
    <w:rsid w:val="006D6729"/>
    <w:rsid w:val="00752543"/>
    <w:rsid w:val="007921B6"/>
    <w:rsid w:val="00797987"/>
    <w:rsid w:val="007C4AD9"/>
    <w:rsid w:val="00806AFE"/>
    <w:rsid w:val="00817907"/>
    <w:rsid w:val="008B0189"/>
    <w:rsid w:val="008D6345"/>
    <w:rsid w:val="008F7C87"/>
    <w:rsid w:val="00943CDC"/>
    <w:rsid w:val="009627D1"/>
    <w:rsid w:val="00A06424"/>
    <w:rsid w:val="00A56331"/>
    <w:rsid w:val="00A943BE"/>
    <w:rsid w:val="00B23791"/>
    <w:rsid w:val="00B81BA7"/>
    <w:rsid w:val="00C11456"/>
    <w:rsid w:val="00C9100F"/>
    <w:rsid w:val="00D025E7"/>
    <w:rsid w:val="00D96FA6"/>
    <w:rsid w:val="00DC3DC4"/>
    <w:rsid w:val="00E448ED"/>
    <w:rsid w:val="00E50F9B"/>
    <w:rsid w:val="00E64FE4"/>
    <w:rsid w:val="00F0487B"/>
    <w:rsid w:val="00F04DC5"/>
    <w:rsid w:val="00F242F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1B6"/>
    <w:rPr>
      <w:color w:val="0000FF" w:themeColor="hyperlink"/>
      <w:u w:val="single"/>
    </w:rPr>
  </w:style>
  <w:style w:type="paragraph" w:styleId="Textodeglobo">
    <w:name w:val="Balloon Text"/>
    <w:basedOn w:val="Normal"/>
    <w:link w:val="TextodegloboCar"/>
    <w:uiPriority w:val="99"/>
    <w:semiHidden/>
    <w:unhideWhenUsed/>
    <w:rsid w:val="00792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1B6"/>
    <w:rPr>
      <w:rFonts w:ascii="Tahoma" w:hAnsi="Tahoma" w:cs="Tahoma"/>
      <w:sz w:val="16"/>
      <w:szCs w:val="16"/>
    </w:rPr>
  </w:style>
  <w:style w:type="table" w:styleId="Tablaconcuadrcula">
    <w:name w:val="Table Grid"/>
    <w:basedOn w:val="Tablanormal"/>
    <w:uiPriority w:val="59"/>
    <w:rsid w:val="00F04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025E7"/>
    <w:rPr>
      <w:color w:val="800080" w:themeColor="followedHyperlink"/>
      <w:u w:val="single"/>
    </w:rPr>
  </w:style>
  <w:style w:type="character" w:customStyle="1" w:styleId="textoatributo">
    <w:name w:val="textoatributo"/>
    <w:basedOn w:val="Fuentedeprrafopredeter"/>
    <w:rsid w:val="00962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1B6"/>
    <w:rPr>
      <w:color w:val="0000FF" w:themeColor="hyperlink"/>
      <w:u w:val="single"/>
    </w:rPr>
  </w:style>
  <w:style w:type="paragraph" w:styleId="Textodeglobo">
    <w:name w:val="Balloon Text"/>
    <w:basedOn w:val="Normal"/>
    <w:link w:val="TextodegloboCar"/>
    <w:uiPriority w:val="99"/>
    <w:semiHidden/>
    <w:unhideWhenUsed/>
    <w:rsid w:val="00792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1B6"/>
    <w:rPr>
      <w:rFonts w:ascii="Tahoma" w:hAnsi="Tahoma" w:cs="Tahoma"/>
      <w:sz w:val="16"/>
      <w:szCs w:val="16"/>
    </w:rPr>
  </w:style>
  <w:style w:type="table" w:styleId="Tablaconcuadrcula">
    <w:name w:val="Table Grid"/>
    <w:basedOn w:val="Tablanormal"/>
    <w:uiPriority w:val="59"/>
    <w:rsid w:val="00F04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025E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4342310">
      <w:bodyDiv w:val="1"/>
      <w:marLeft w:val="0"/>
      <w:marRight w:val="0"/>
      <w:marTop w:val="0"/>
      <w:marBottom w:val="0"/>
      <w:divBdr>
        <w:top w:val="none" w:sz="0" w:space="0" w:color="auto"/>
        <w:left w:val="none" w:sz="0" w:space="0" w:color="auto"/>
        <w:bottom w:val="none" w:sz="0" w:space="0" w:color="auto"/>
        <w:right w:val="none" w:sz="0" w:space="0" w:color="auto"/>
      </w:divBdr>
      <w:divsChild>
        <w:div w:id="593822844">
          <w:marLeft w:val="0"/>
          <w:marRight w:val="0"/>
          <w:marTop w:val="0"/>
          <w:marBottom w:val="0"/>
          <w:divBdr>
            <w:top w:val="none" w:sz="0" w:space="0" w:color="auto"/>
            <w:left w:val="none" w:sz="0" w:space="0" w:color="auto"/>
            <w:bottom w:val="none" w:sz="0" w:space="0" w:color="auto"/>
            <w:right w:val="none" w:sz="0" w:space="0" w:color="auto"/>
          </w:divBdr>
        </w:div>
      </w:divsChild>
    </w:div>
    <w:div w:id="460853191">
      <w:bodyDiv w:val="1"/>
      <w:marLeft w:val="0"/>
      <w:marRight w:val="0"/>
      <w:marTop w:val="0"/>
      <w:marBottom w:val="0"/>
      <w:divBdr>
        <w:top w:val="none" w:sz="0" w:space="0" w:color="auto"/>
        <w:left w:val="none" w:sz="0" w:space="0" w:color="auto"/>
        <w:bottom w:val="none" w:sz="0" w:space="0" w:color="auto"/>
        <w:right w:val="none" w:sz="0" w:space="0" w:color="auto"/>
      </w:divBdr>
    </w:div>
    <w:div w:id="499080004">
      <w:bodyDiv w:val="1"/>
      <w:marLeft w:val="0"/>
      <w:marRight w:val="0"/>
      <w:marTop w:val="0"/>
      <w:marBottom w:val="0"/>
      <w:divBdr>
        <w:top w:val="none" w:sz="0" w:space="0" w:color="auto"/>
        <w:left w:val="none" w:sz="0" w:space="0" w:color="auto"/>
        <w:bottom w:val="none" w:sz="0" w:space="0" w:color="auto"/>
        <w:right w:val="none" w:sz="0" w:space="0" w:color="auto"/>
      </w:divBdr>
      <w:divsChild>
        <w:div w:id="1077285797">
          <w:marLeft w:val="0"/>
          <w:marRight w:val="0"/>
          <w:marTop w:val="0"/>
          <w:marBottom w:val="0"/>
          <w:divBdr>
            <w:top w:val="none" w:sz="0" w:space="0" w:color="auto"/>
            <w:left w:val="none" w:sz="0" w:space="0" w:color="auto"/>
            <w:bottom w:val="none" w:sz="0" w:space="0" w:color="auto"/>
            <w:right w:val="none" w:sz="0" w:space="0" w:color="auto"/>
          </w:divBdr>
        </w:div>
      </w:divsChild>
    </w:div>
    <w:div w:id="805126143">
      <w:bodyDiv w:val="1"/>
      <w:marLeft w:val="0"/>
      <w:marRight w:val="0"/>
      <w:marTop w:val="0"/>
      <w:marBottom w:val="0"/>
      <w:divBdr>
        <w:top w:val="none" w:sz="0" w:space="0" w:color="auto"/>
        <w:left w:val="none" w:sz="0" w:space="0" w:color="auto"/>
        <w:bottom w:val="none" w:sz="0" w:space="0" w:color="auto"/>
        <w:right w:val="none" w:sz="0" w:space="0" w:color="auto"/>
      </w:divBdr>
      <w:divsChild>
        <w:div w:id="367460433">
          <w:marLeft w:val="0"/>
          <w:marRight w:val="0"/>
          <w:marTop w:val="0"/>
          <w:marBottom w:val="0"/>
          <w:divBdr>
            <w:top w:val="none" w:sz="0" w:space="0" w:color="auto"/>
            <w:left w:val="none" w:sz="0" w:space="0" w:color="auto"/>
            <w:bottom w:val="none" w:sz="0" w:space="0" w:color="auto"/>
            <w:right w:val="none" w:sz="0" w:space="0" w:color="auto"/>
          </w:divBdr>
        </w:div>
      </w:divsChild>
    </w:div>
    <w:div w:id="1218273567">
      <w:bodyDiv w:val="1"/>
      <w:marLeft w:val="0"/>
      <w:marRight w:val="0"/>
      <w:marTop w:val="0"/>
      <w:marBottom w:val="0"/>
      <w:divBdr>
        <w:top w:val="none" w:sz="0" w:space="0" w:color="auto"/>
        <w:left w:val="none" w:sz="0" w:space="0" w:color="auto"/>
        <w:bottom w:val="none" w:sz="0" w:space="0" w:color="auto"/>
        <w:right w:val="none" w:sz="0" w:space="0" w:color="auto"/>
      </w:divBdr>
    </w:div>
    <w:div w:id="1377581500">
      <w:bodyDiv w:val="1"/>
      <w:marLeft w:val="0"/>
      <w:marRight w:val="0"/>
      <w:marTop w:val="0"/>
      <w:marBottom w:val="0"/>
      <w:divBdr>
        <w:top w:val="none" w:sz="0" w:space="0" w:color="auto"/>
        <w:left w:val="none" w:sz="0" w:space="0" w:color="auto"/>
        <w:bottom w:val="none" w:sz="0" w:space="0" w:color="auto"/>
        <w:right w:val="none" w:sz="0" w:space="0" w:color="auto"/>
      </w:divBdr>
    </w:div>
    <w:div w:id="1416318363">
      <w:bodyDiv w:val="1"/>
      <w:marLeft w:val="0"/>
      <w:marRight w:val="0"/>
      <w:marTop w:val="0"/>
      <w:marBottom w:val="0"/>
      <w:divBdr>
        <w:top w:val="none" w:sz="0" w:space="0" w:color="auto"/>
        <w:left w:val="none" w:sz="0" w:space="0" w:color="auto"/>
        <w:bottom w:val="none" w:sz="0" w:space="0" w:color="auto"/>
        <w:right w:val="none" w:sz="0" w:space="0" w:color="auto"/>
      </w:divBdr>
    </w:div>
    <w:div w:id="1451166639">
      <w:bodyDiv w:val="1"/>
      <w:marLeft w:val="0"/>
      <w:marRight w:val="0"/>
      <w:marTop w:val="0"/>
      <w:marBottom w:val="0"/>
      <w:divBdr>
        <w:top w:val="none" w:sz="0" w:space="0" w:color="auto"/>
        <w:left w:val="none" w:sz="0" w:space="0" w:color="auto"/>
        <w:bottom w:val="none" w:sz="0" w:space="0" w:color="auto"/>
        <w:right w:val="none" w:sz="0" w:space="0" w:color="auto"/>
      </w:divBdr>
    </w:div>
    <w:div w:id="1577932354">
      <w:bodyDiv w:val="1"/>
      <w:marLeft w:val="0"/>
      <w:marRight w:val="0"/>
      <w:marTop w:val="0"/>
      <w:marBottom w:val="0"/>
      <w:divBdr>
        <w:top w:val="none" w:sz="0" w:space="0" w:color="auto"/>
        <w:left w:val="none" w:sz="0" w:space="0" w:color="auto"/>
        <w:bottom w:val="none" w:sz="0" w:space="0" w:color="auto"/>
        <w:right w:val="none" w:sz="0" w:space="0" w:color="auto"/>
      </w:divBdr>
      <w:divsChild>
        <w:div w:id="2074036225">
          <w:marLeft w:val="0"/>
          <w:marRight w:val="0"/>
          <w:marTop w:val="0"/>
          <w:marBottom w:val="0"/>
          <w:divBdr>
            <w:top w:val="none" w:sz="0" w:space="0" w:color="auto"/>
            <w:left w:val="none" w:sz="0" w:space="0" w:color="auto"/>
            <w:bottom w:val="none" w:sz="0" w:space="0" w:color="auto"/>
            <w:right w:val="none" w:sz="0" w:space="0" w:color="auto"/>
          </w:divBdr>
        </w:div>
      </w:divsChild>
    </w:div>
    <w:div w:id="1594783687">
      <w:bodyDiv w:val="1"/>
      <w:marLeft w:val="0"/>
      <w:marRight w:val="0"/>
      <w:marTop w:val="0"/>
      <w:marBottom w:val="0"/>
      <w:divBdr>
        <w:top w:val="none" w:sz="0" w:space="0" w:color="auto"/>
        <w:left w:val="none" w:sz="0" w:space="0" w:color="auto"/>
        <w:bottom w:val="none" w:sz="0" w:space="0" w:color="auto"/>
        <w:right w:val="none" w:sz="0" w:space="0" w:color="auto"/>
      </w:divBdr>
    </w:div>
    <w:div w:id="1772120602">
      <w:bodyDiv w:val="1"/>
      <w:marLeft w:val="0"/>
      <w:marRight w:val="0"/>
      <w:marTop w:val="0"/>
      <w:marBottom w:val="0"/>
      <w:divBdr>
        <w:top w:val="none" w:sz="0" w:space="0" w:color="auto"/>
        <w:left w:val="none" w:sz="0" w:space="0" w:color="auto"/>
        <w:bottom w:val="none" w:sz="0" w:space="0" w:color="auto"/>
        <w:right w:val="none" w:sz="0" w:space="0" w:color="auto"/>
      </w:divBdr>
      <w:divsChild>
        <w:div w:id="349910786">
          <w:marLeft w:val="0"/>
          <w:marRight w:val="0"/>
          <w:marTop w:val="0"/>
          <w:marBottom w:val="0"/>
          <w:divBdr>
            <w:top w:val="none" w:sz="0" w:space="0" w:color="auto"/>
            <w:left w:val="none" w:sz="0" w:space="0" w:color="auto"/>
            <w:bottom w:val="none" w:sz="0" w:space="0" w:color="auto"/>
            <w:right w:val="none" w:sz="0" w:space="0" w:color="auto"/>
          </w:divBdr>
        </w:div>
      </w:divsChild>
    </w:div>
    <w:div w:id="1932422512">
      <w:bodyDiv w:val="1"/>
      <w:marLeft w:val="0"/>
      <w:marRight w:val="0"/>
      <w:marTop w:val="0"/>
      <w:marBottom w:val="0"/>
      <w:divBdr>
        <w:top w:val="none" w:sz="0" w:space="0" w:color="auto"/>
        <w:left w:val="none" w:sz="0" w:space="0" w:color="auto"/>
        <w:bottom w:val="none" w:sz="0" w:space="0" w:color="auto"/>
        <w:right w:val="none" w:sz="0" w:space="0" w:color="auto"/>
      </w:divBdr>
      <w:divsChild>
        <w:div w:id="899252079">
          <w:marLeft w:val="0"/>
          <w:marRight w:val="0"/>
          <w:marTop w:val="0"/>
          <w:marBottom w:val="0"/>
          <w:divBdr>
            <w:top w:val="none" w:sz="0" w:space="0" w:color="auto"/>
            <w:left w:val="none" w:sz="0" w:space="0" w:color="auto"/>
            <w:bottom w:val="none" w:sz="0" w:space="0" w:color="auto"/>
            <w:right w:val="none" w:sz="0" w:space="0" w:color="auto"/>
          </w:divBdr>
        </w:div>
      </w:divsChild>
    </w:div>
    <w:div w:id="1980259093">
      <w:bodyDiv w:val="1"/>
      <w:marLeft w:val="0"/>
      <w:marRight w:val="0"/>
      <w:marTop w:val="0"/>
      <w:marBottom w:val="0"/>
      <w:divBdr>
        <w:top w:val="none" w:sz="0" w:space="0" w:color="auto"/>
        <w:left w:val="none" w:sz="0" w:space="0" w:color="auto"/>
        <w:bottom w:val="none" w:sz="0" w:space="0" w:color="auto"/>
        <w:right w:val="none" w:sz="0" w:space="0" w:color="auto"/>
      </w:divBdr>
      <w:divsChild>
        <w:div w:id="985814502">
          <w:marLeft w:val="0"/>
          <w:marRight w:val="0"/>
          <w:marTop w:val="0"/>
          <w:marBottom w:val="0"/>
          <w:divBdr>
            <w:top w:val="none" w:sz="0" w:space="0" w:color="auto"/>
            <w:left w:val="none" w:sz="0" w:space="0" w:color="auto"/>
            <w:bottom w:val="none" w:sz="0" w:space="0" w:color="auto"/>
            <w:right w:val="none" w:sz="0" w:space="0" w:color="auto"/>
          </w:divBdr>
        </w:div>
      </w:divsChild>
    </w:div>
    <w:div w:id="20103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halitransparente.cl/Auditarias/Auditorias%20CGR/INFORME%20FINAL%2059-2012%20MUNICIPALIDAD%20DE%20CONCHALI%20-%20TRANSFERENCIAS%20Y%20GASTOS%20-%20ABRIL%202013.pdf" TargetMode="External"/><Relationship Id="rId13" Type="http://schemas.openxmlformats.org/officeDocument/2006/relationships/hyperlink" Target="http://www.conchalitransparente.cl/Auditarias/Auditorias%20CGR/Inf%2031%20%20-2010%20DE%20CONCHALI%20AUDITORIA%20A%20LOS%20RECURSOS%20FINANCIEROS%20Y%20FISICOS%20DESTINADOS%20ATENDER%20SITUACIONES%20DE%20EMERGENCIA%20AGOSTO%202010.pdf" TargetMode="External"/><Relationship Id="rId3" Type="http://schemas.openxmlformats.org/officeDocument/2006/relationships/webSettings" Target="webSettings.xml"/><Relationship Id="rId7" Type="http://schemas.openxmlformats.org/officeDocument/2006/relationships/hyperlink" Target="http://www.conchalitransparente.cl/Auditarias/Auditorias%20CGR/INFORME%20FINAL%2054-13%20MUNICIPALIDAD%20DE%20CONCHALI%20AUDITORIA%20A%20LOS%20CONTRATOS%20DE%20OBRA%20-%20JUNIO%202014.pdf" TargetMode="External"/><Relationship Id="rId12" Type="http://schemas.openxmlformats.org/officeDocument/2006/relationships/hyperlink" Target="http://www.conchalitransparente.cl/Auditarias/Auditorias%20CGR/INFORME%20FINAL%20N&#176;%2042-10%20MUNICIPALIDAD%20DE%20CONCHALI,%20SOBRE%20AUDITORIA%20AL%20MACROPROCESO%20DE%20FINANZAS.%20NOVIEMBRE%202010.pdf"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traloria.cl/SicaProd/SICAv3-BIFAPortalCGR/faces/detalleInforme?docIdcm=b3591ce84702bbe1b474982b6f79c972&amp;_adf.ctrl-state=gee8zd49m_51" TargetMode="External"/><Relationship Id="rId11" Type="http://schemas.openxmlformats.org/officeDocument/2006/relationships/hyperlink" Target="http://www.conchalitransparente.cl/Auditarias/Auditorias%20CGR/FINAL%20N%20%2010-11%20MUNICIPALIDAD%20DE%20CONCHALI%20SOBRE%20AUDITORIA%20A%20LOS%20MACROPROCESOS%20DE%20FINANZAS%20Y%20ABASTECIMIENTO%20-%20AGOSTO%202.pdf" TargetMode="External"/><Relationship Id="rId5" Type="http://schemas.openxmlformats.org/officeDocument/2006/relationships/hyperlink" Target="http://www.contraloria.cl/SicaProd/SICAv3-BIFAPortalCGR/faces/detalleInforme?docIdcm=c441914663e0e5604edaf7a10997fa59&amp;_adf.ctrl-state=gee8zd49m_43" TargetMode="External"/><Relationship Id="rId15" Type="http://schemas.openxmlformats.org/officeDocument/2006/relationships/fontTable" Target="fontTable.xml"/><Relationship Id="rId10" Type="http://schemas.openxmlformats.org/officeDocument/2006/relationships/hyperlink" Target="http://www.conchalitransparente.cl/Auditarias/Auditorias%20CGR/INFORME%20FINAL%20N&#176;%2048-2011%20CORPORACION%20MUNICIPAL%20DE%20CONCHALI.pdf" TargetMode="External"/><Relationship Id="rId4" Type="http://schemas.openxmlformats.org/officeDocument/2006/relationships/image" Target="media/image1.jpeg"/><Relationship Id="rId9" Type="http://schemas.openxmlformats.org/officeDocument/2006/relationships/hyperlink" Target="http://www.conchalitransparente.cl/Auditarias/Auditorias%20CGR/Inf%2024%20-2012%20PROGRAMA%20FONDO%20DE%20RECUPERACION%20DE%20CIUDADES%20DE%20LA%20SUBSECRETARIA%20DE%20DESARROLLO%20REGIONAL%20Y%20ADMINISTRATIVO%20-%20NOVIEMBRE%202012.PDF" TargetMode="External"/><Relationship Id="rId14" Type="http://schemas.openxmlformats.org/officeDocument/2006/relationships/hyperlink" Target="http://www.conchalitransparente.cl/Auditarias/Auditorias%20CGR/INFORME%20FINAL%20N%20258%20SOBRE%20MACROPROCESO%20GENERACION%20DE%20RECURS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2229</Words>
  <Characters>12261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Leopoldo Quezada</dc:creator>
  <cp:lastModifiedBy>Leopoldo Quezada</cp:lastModifiedBy>
  <cp:revision>10</cp:revision>
  <cp:lastPrinted>2014-02-06T15:33:00Z</cp:lastPrinted>
  <dcterms:created xsi:type="dcterms:W3CDTF">2015-04-01T14:30:00Z</dcterms:created>
  <dcterms:modified xsi:type="dcterms:W3CDTF">2015-11-02T13:08:00Z</dcterms:modified>
</cp:coreProperties>
</file>